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A2" w:rsidRDefault="00483EA2" w:rsidP="00483EA2">
      <w:pPr>
        <w:pStyle w:val="CG-Title-Left-Bold"/>
        <w:spacing w:after="0"/>
        <w:rPr>
          <w:rFonts w:ascii="B Palatino Bold" w:hAnsi="B Palatino Bold"/>
          <w:b w:val="0"/>
        </w:rPr>
      </w:pPr>
    </w:p>
    <w:p w:rsidR="00483EA2" w:rsidRDefault="00483EA2" w:rsidP="00483EA2">
      <w:pPr>
        <w:pStyle w:val="CG-Title-Left-Bold"/>
        <w:spacing w:after="0"/>
        <w:rPr>
          <w:rFonts w:ascii="B Palatino Bold" w:hAnsi="B Palatino Bold"/>
          <w:b w:val="0"/>
        </w:rPr>
      </w:pPr>
    </w:p>
    <w:p w:rsidR="00483EA2" w:rsidRDefault="00483EA2" w:rsidP="00483EA2">
      <w:pPr>
        <w:pStyle w:val="CG-Title-Left-Bold"/>
        <w:spacing w:after="0"/>
        <w:rPr>
          <w:rFonts w:ascii="B Palatino Bold" w:hAnsi="B Palatino Bold"/>
          <w:b w:val="0"/>
        </w:rPr>
      </w:pPr>
    </w:p>
    <w:p w:rsidR="00483EA2" w:rsidRDefault="00483EA2" w:rsidP="00483EA2">
      <w:pPr>
        <w:pStyle w:val="CG-Title-Left-Bold"/>
        <w:spacing w:after="0"/>
        <w:rPr>
          <w:rFonts w:ascii="B Palatino Bold" w:hAnsi="B Palatino Bold"/>
          <w:b w:val="0"/>
        </w:rPr>
      </w:pPr>
      <w:r>
        <w:rPr>
          <w:rFonts w:ascii="B Palatino Bold" w:hAnsi="B Palatino Bold"/>
          <w:b w:val="0"/>
        </w:rPr>
        <w:t xml:space="preserve">From PLI’s Course Handbook </w:t>
      </w:r>
    </w:p>
    <w:p w:rsidR="00483EA2" w:rsidRDefault="00483EA2" w:rsidP="00483EA2">
      <w:pPr>
        <w:pStyle w:val="CG-Title-Left-Italic"/>
        <w:keepNext w:val="0"/>
        <w:spacing w:after="0"/>
      </w:pPr>
      <w:r>
        <w:t>Corporate Governance 2010</w:t>
      </w:r>
      <w:r>
        <w:noBreakHyphen/>
        <w:t>A Master Class</w:t>
      </w:r>
    </w:p>
    <w:p w:rsidR="00483EA2" w:rsidRPr="00483EA2" w:rsidRDefault="00483EA2" w:rsidP="00483EA2">
      <w:pPr>
        <w:spacing w:after="0"/>
        <w:jc w:val="both"/>
        <w:rPr>
          <w:rFonts w:ascii="Times New Roman" w:hAnsi="Times New Roman"/>
          <w:sz w:val="24"/>
          <w:szCs w:val="24"/>
        </w:rPr>
      </w:pPr>
      <w:r w:rsidRPr="00483EA2">
        <w:rPr>
          <w:rFonts w:ascii="Times New Roman" w:hAnsi="Times New Roman"/>
          <w:sz w:val="24"/>
          <w:szCs w:val="24"/>
        </w:rPr>
        <w:t>#22647</w:t>
      </w:r>
    </w:p>
    <w:p w:rsidR="00483EA2" w:rsidRDefault="00483EA2" w:rsidP="00483EA2">
      <w:pPr>
        <w:spacing w:after="0"/>
        <w:jc w:val="both"/>
      </w:pPr>
    </w:p>
    <w:p w:rsidR="00483EA2" w:rsidRDefault="00483EA2" w:rsidP="00483EA2">
      <w:pPr>
        <w:spacing w:after="0"/>
        <w:jc w:val="both"/>
      </w:pPr>
    </w:p>
    <w:p w:rsidR="00483EA2" w:rsidRDefault="00483EA2" w:rsidP="00483EA2">
      <w:pPr>
        <w:spacing w:after="0"/>
      </w:pPr>
    </w:p>
    <w:p w:rsidR="00483EA2" w:rsidRPr="00483EA2" w:rsidRDefault="00483EA2" w:rsidP="00483EA2">
      <w:pPr>
        <w:spacing w:after="0"/>
        <w:ind w:left="2016"/>
        <w:rPr>
          <w:rFonts w:ascii="Helvetica" w:hAnsi="Helvetica"/>
          <w:caps/>
          <w:sz w:val="24"/>
          <w:szCs w:val="24"/>
        </w:rPr>
      </w:pPr>
      <w:r w:rsidRPr="00483EA2">
        <w:rPr>
          <w:rFonts w:ascii="Helvetica" w:hAnsi="Helvetica"/>
          <w:caps/>
          <w:sz w:val="24"/>
          <w:szCs w:val="24"/>
        </w:rPr>
        <w:t>18</w:t>
      </w:r>
    </w:p>
    <w:p w:rsidR="00483EA2" w:rsidRPr="00483EA2" w:rsidRDefault="00483EA2" w:rsidP="00483EA2">
      <w:pPr>
        <w:spacing w:after="0"/>
        <w:ind w:left="2016"/>
        <w:rPr>
          <w:rFonts w:ascii="Helvetica" w:hAnsi="Helvetica"/>
          <w:caps/>
          <w:sz w:val="24"/>
          <w:szCs w:val="24"/>
        </w:rPr>
      </w:pPr>
    </w:p>
    <w:p w:rsidR="00483EA2" w:rsidRPr="00483EA2" w:rsidRDefault="00483EA2" w:rsidP="00483EA2">
      <w:pPr>
        <w:spacing w:after="0"/>
        <w:ind w:left="2016"/>
        <w:rPr>
          <w:rFonts w:ascii="Helvetica" w:hAnsi="Helvetica"/>
          <w:caps/>
          <w:sz w:val="24"/>
          <w:szCs w:val="24"/>
        </w:rPr>
      </w:pPr>
    </w:p>
    <w:p w:rsidR="00483EA2" w:rsidRPr="00483EA2" w:rsidRDefault="00483EA2" w:rsidP="00483EA2">
      <w:pPr>
        <w:spacing w:after="0"/>
        <w:ind w:left="2016"/>
        <w:rPr>
          <w:rFonts w:ascii="Helvetica" w:hAnsi="Helvetica"/>
          <w:caps/>
          <w:sz w:val="24"/>
          <w:szCs w:val="24"/>
        </w:rPr>
      </w:pPr>
    </w:p>
    <w:p w:rsidR="00483EA2" w:rsidRPr="00483EA2" w:rsidRDefault="00483EA2" w:rsidP="00483EA2">
      <w:pPr>
        <w:spacing w:after="0"/>
        <w:ind w:left="2016"/>
        <w:rPr>
          <w:rFonts w:ascii="Helvetica" w:hAnsi="Helvetica"/>
          <w:caps/>
          <w:sz w:val="24"/>
          <w:szCs w:val="24"/>
        </w:rPr>
      </w:pPr>
    </w:p>
    <w:p w:rsidR="00483EA2" w:rsidRPr="00483EA2" w:rsidRDefault="00483EA2" w:rsidP="000E2C37">
      <w:pPr>
        <w:spacing w:after="0"/>
        <w:ind w:left="2016" w:right="-36"/>
        <w:rPr>
          <w:rFonts w:ascii="Helvetica" w:hAnsi="Helvetica"/>
          <w:caps/>
          <w:sz w:val="24"/>
          <w:szCs w:val="24"/>
        </w:rPr>
      </w:pPr>
      <w:r w:rsidRPr="00483EA2">
        <w:rPr>
          <w:rFonts w:ascii="Helvetica" w:hAnsi="Helvetica"/>
          <w:caps/>
          <w:sz w:val="24"/>
          <w:szCs w:val="24"/>
        </w:rPr>
        <w:t>Enterprise risk management and global compliance in the corporate governance context: the general counsel’s role and the board of directors’ expectations</w:t>
      </w:r>
    </w:p>
    <w:p w:rsidR="00483EA2" w:rsidRDefault="00483EA2" w:rsidP="00483EA2">
      <w:pPr>
        <w:spacing w:after="0"/>
        <w:ind w:left="2016"/>
        <w:rPr>
          <w:rFonts w:ascii="Helvetica" w:hAnsi="Helvetica"/>
          <w:caps/>
        </w:rPr>
      </w:pPr>
    </w:p>
    <w:p w:rsidR="00483EA2" w:rsidRDefault="00483EA2" w:rsidP="00483EA2">
      <w:pPr>
        <w:spacing w:after="0"/>
        <w:ind w:left="2016"/>
        <w:rPr>
          <w:rFonts w:ascii="Helvetica" w:hAnsi="Helvetica"/>
          <w:caps/>
        </w:rPr>
      </w:pPr>
    </w:p>
    <w:p w:rsidR="00483EA2" w:rsidRPr="00483EA2" w:rsidRDefault="00483EA2" w:rsidP="00483EA2">
      <w:pPr>
        <w:spacing w:after="0"/>
        <w:ind w:left="1296" w:firstLine="720"/>
        <w:rPr>
          <w:rFonts w:ascii="Helvetica" w:hAnsi="Helvetica"/>
          <w:sz w:val="24"/>
          <w:szCs w:val="24"/>
        </w:rPr>
      </w:pPr>
      <w:r w:rsidRPr="00483EA2">
        <w:rPr>
          <w:rFonts w:ascii="Helvetica" w:hAnsi="Helvetica"/>
          <w:sz w:val="24"/>
          <w:szCs w:val="24"/>
        </w:rPr>
        <w:t>William L. Deckelman, Jr.</w:t>
      </w:r>
    </w:p>
    <w:p w:rsidR="00483EA2" w:rsidRPr="0028663E" w:rsidRDefault="00483EA2" w:rsidP="00483EA2">
      <w:pPr>
        <w:spacing w:after="0"/>
        <w:ind w:left="2016"/>
        <w:rPr>
          <w:rFonts w:ascii="Helvetica" w:hAnsi="Helvetica"/>
          <w:i/>
        </w:rPr>
      </w:pPr>
      <w:r>
        <w:rPr>
          <w:rFonts w:ascii="Helvetica" w:hAnsi="Helvetica"/>
          <w:i/>
        </w:rPr>
        <w:t>CSC</w:t>
      </w:r>
    </w:p>
    <w:p w:rsidR="00483EA2" w:rsidRDefault="00483EA2" w:rsidP="00483EA2">
      <w:pPr>
        <w:spacing w:after="0"/>
        <w:ind w:left="2016"/>
        <w:rPr>
          <w:rFonts w:ascii="Helvetica" w:hAnsi="Helvetica"/>
          <w:sz w:val="20"/>
        </w:rPr>
      </w:pPr>
    </w:p>
    <w:p w:rsidR="00483EA2" w:rsidRPr="00967D26" w:rsidRDefault="00483EA2" w:rsidP="00483EA2">
      <w:pPr>
        <w:spacing w:after="0"/>
        <w:ind w:left="2016"/>
        <w:rPr>
          <w:rFonts w:ascii="Helvetica" w:hAnsi="Helvetica"/>
          <w:i/>
          <w:sz w:val="20"/>
        </w:rPr>
      </w:pPr>
    </w:p>
    <w:p w:rsidR="00483EA2" w:rsidRDefault="00483EA2" w:rsidP="00483EA2">
      <w:pPr>
        <w:spacing w:after="0"/>
        <w:ind w:left="2016"/>
        <w:rPr>
          <w:rFonts w:ascii="Helvetica" w:hAnsi="Helvetica"/>
          <w:sz w:val="20"/>
        </w:rPr>
      </w:pPr>
    </w:p>
    <w:p w:rsidR="00483EA2" w:rsidRDefault="00483EA2" w:rsidP="00483EA2">
      <w:pPr>
        <w:pStyle w:val="BodyText"/>
        <w:spacing w:after="0"/>
        <w:jc w:val="center"/>
        <w:rPr>
          <w:rFonts w:ascii="Times New Roman Bold" w:hAnsi="Times New Roman Bold"/>
          <w:b/>
          <w:bCs/>
          <w:sz w:val="28"/>
        </w:rPr>
      </w:pPr>
    </w:p>
    <w:p w:rsidR="00483EA2" w:rsidRDefault="00483EA2" w:rsidP="00483EA2">
      <w:pPr>
        <w:pStyle w:val="BodyText"/>
        <w:spacing w:after="0"/>
        <w:jc w:val="center"/>
        <w:rPr>
          <w:rFonts w:ascii="Times New Roman Bold" w:hAnsi="Times New Roman Bold"/>
          <w:b/>
          <w:bCs/>
          <w:sz w:val="28"/>
        </w:rPr>
      </w:pPr>
    </w:p>
    <w:p w:rsidR="00483EA2" w:rsidRDefault="00483EA2" w:rsidP="00483EA2">
      <w:pPr>
        <w:pStyle w:val="BodyText"/>
        <w:spacing w:after="0"/>
        <w:jc w:val="center"/>
        <w:rPr>
          <w:rFonts w:ascii="Times New Roman Bold" w:hAnsi="Times New Roman Bold"/>
          <w:b/>
          <w:bCs/>
          <w:sz w:val="28"/>
        </w:rPr>
      </w:pPr>
    </w:p>
    <w:p w:rsidR="009D3D1D" w:rsidRDefault="00897B9E" w:rsidP="00781C99">
      <w:pPr>
        <w:rPr>
          <w:b/>
        </w:rPr>
      </w:pPr>
      <w:r>
        <w:rPr>
          <w:b/>
          <w:sz w:val="28"/>
          <w:szCs w:val="28"/>
        </w:rPr>
        <w:br w:type="page"/>
      </w:r>
      <w:r w:rsidR="00ED2A52">
        <w:rPr>
          <w:b/>
        </w:rPr>
        <w:lastRenderedPageBreak/>
        <w:t>INTRODUCTION</w:t>
      </w:r>
    </w:p>
    <w:p w:rsidR="00ED2A52" w:rsidRDefault="00753BF5" w:rsidP="000101AE">
      <w:pPr>
        <w:pStyle w:val="NoSpacing"/>
        <w:jc w:val="both"/>
        <w:rPr>
          <w:rFonts w:ascii="Times New Roman" w:hAnsi="Times New Roman"/>
        </w:rPr>
      </w:pPr>
      <w:r>
        <w:rPr>
          <w:rFonts w:ascii="Times New Roman" w:hAnsi="Times New Roman"/>
        </w:rPr>
        <w:t xml:space="preserve">At no time in history have the challenges facing general counsels of global, publicly-held companies appeared so daunting.  The </w:t>
      </w:r>
      <w:r w:rsidR="009F5476">
        <w:rPr>
          <w:rFonts w:ascii="Times New Roman" w:hAnsi="Times New Roman"/>
        </w:rPr>
        <w:t xml:space="preserve">global reach and interconnectedness of business combined with </w:t>
      </w:r>
      <w:r w:rsidR="00B822F3">
        <w:rPr>
          <w:rFonts w:ascii="Times New Roman" w:hAnsi="Times New Roman"/>
        </w:rPr>
        <w:t xml:space="preserve">instant and global information access </w:t>
      </w:r>
      <w:r w:rsidR="00DE1942">
        <w:rPr>
          <w:rFonts w:ascii="Times New Roman" w:hAnsi="Times New Roman"/>
        </w:rPr>
        <w:t xml:space="preserve">means businesses today operate, evolve and are impacted by change 24 x 7 and faster than ever before.  </w:t>
      </w:r>
      <w:r w:rsidR="00D55DFE">
        <w:rPr>
          <w:rFonts w:ascii="Times New Roman" w:hAnsi="Times New Roman"/>
        </w:rPr>
        <w:t xml:space="preserve">Add to this the </w:t>
      </w:r>
      <w:r>
        <w:rPr>
          <w:rFonts w:ascii="Times New Roman" w:hAnsi="Times New Roman"/>
        </w:rPr>
        <w:t xml:space="preserve">effects of the global economic crisis and the </w:t>
      </w:r>
      <w:r w:rsidR="00536BD2">
        <w:rPr>
          <w:rFonts w:ascii="Times New Roman" w:hAnsi="Times New Roman"/>
        </w:rPr>
        <w:t xml:space="preserve">ardent </w:t>
      </w:r>
      <w:smartTag w:uri="urn:schemas-microsoft-com:office:smarttags" w:element="country-region">
        <w:smartTag w:uri="urn:schemas-microsoft-com:office:smarttags" w:element="place">
          <w:r w:rsidR="00536BD2">
            <w:rPr>
              <w:rFonts w:ascii="Times New Roman" w:hAnsi="Times New Roman"/>
            </w:rPr>
            <w:t>U.S.</w:t>
          </w:r>
        </w:smartTag>
      </w:smartTag>
      <w:r w:rsidR="00536BD2">
        <w:rPr>
          <w:rFonts w:ascii="Times New Roman" w:hAnsi="Times New Roman"/>
        </w:rPr>
        <w:t xml:space="preserve"> </w:t>
      </w:r>
      <w:r>
        <w:rPr>
          <w:rFonts w:ascii="Times New Roman" w:hAnsi="Times New Roman"/>
        </w:rPr>
        <w:t xml:space="preserve">political and regulatory response to that crisis </w:t>
      </w:r>
      <w:r w:rsidR="00D55DFE">
        <w:rPr>
          <w:rFonts w:ascii="Times New Roman" w:hAnsi="Times New Roman"/>
        </w:rPr>
        <w:t xml:space="preserve">and </w:t>
      </w:r>
      <w:r w:rsidR="00536BD2">
        <w:rPr>
          <w:rFonts w:ascii="Times New Roman" w:hAnsi="Times New Roman"/>
        </w:rPr>
        <w:t xml:space="preserve">public company directors, general counsels and other executives will tell you it is </w:t>
      </w:r>
      <w:r w:rsidR="00D55DFE">
        <w:rPr>
          <w:rFonts w:ascii="Times New Roman" w:hAnsi="Times New Roman"/>
        </w:rPr>
        <w:t>the “perfect storm.”</w:t>
      </w:r>
    </w:p>
    <w:p w:rsidR="00D55DFE" w:rsidRDefault="00D55DFE" w:rsidP="000101AE">
      <w:pPr>
        <w:pStyle w:val="NoSpacing"/>
        <w:jc w:val="both"/>
        <w:rPr>
          <w:rFonts w:ascii="Times New Roman" w:hAnsi="Times New Roman"/>
        </w:rPr>
      </w:pPr>
    </w:p>
    <w:p w:rsidR="008B6813" w:rsidRDefault="000E7E42" w:rsidP="000101AE">
      <w:pPr>
        <w:pStyle w:val="NoSpacing"/>
        <w:jc w:val="both"/>
        <w:rPr>
          <w:rFonts w:ascii="Times New Roman" w:hAnsi="Times New Roman"/>
        </w:rPr>
      </w:pPr>
      <w:r>
        <w:rPr>
          <w:rFonts w:ascii="Times New Roman" w:hAnsi="Times New Roman"/>
        </w:rPr>
        <w:t xml:space="preserve">Enterprise Risk, Global Compliance </w:t>
      </w:r>
      <w:r w:rsidR="00111B22">
        <w:rPr>
          <w:rFonts w:ascii="Times New Roman" w:hAnsi="Times New Roman"/>
        </w:rPr>
        <w:t xml:space="preserve">and Corporate Governance </w:t>
      </w:r>
      <w:r w:rsidR="00E21E49">
        <w:rPr>
          <w:rFonts w:ascii="Times New Roman" w:hAnsi="Times New Roman"/>
        </w:rPr>
        <w:t xml:space="preserve">will continue to be the general </w:t>
      </w:r>
      <w:r w:rsidR="00874B3C">
        <w:rPr>
          <w:rFonts w:ascii="Times New Roman" w:hAnsi="Times New Roman"/>
        </w:rPr>
        <w:t xml:space="preserve">counsel’s </w:t>
      </w:r>
      <w:r>
        <w:rPr>
          <w:rFonts w:ascii="Times New Roman" w:hAnsi="Times New Roman"/>
        </w:rPr>
        <w:t>highest priorities</w:t>
      </w:r>
      <w:r w:rsidR="004E4409">
        <w:rPr>
          <w:rFonts w:ascii="Times New Roman" w:hAnsi="Times New Roman"/>
        </w:rPr>
        <w:t xml:space="preserve"> in 2010</w:t>
      </w:r>
      <w:r>
        <w:rPr>
          <w:rFonts w:ascii="Times New Roman" w:hAnsi="Times New Roman"/>
        </w:rPr>
        <w:t xml:space="preserve">.  </w:t>
      </w:r>
      <w:r w:rsidR="008C1A30">
        <w:rPr>
          <w:rFonts w:ascii="Times New Roman" w:hAnsi="Times New Roman"/>
        </w:rPr>
        <w:t xml:space="preserve">Enterprise Risk and Global Compliance are </w:t>
      </w:r>
      <w:r w:rsidR="0042520B">
        <w:rPr>
          <w:rFonts w:ascii="Times New Roman" w:hAnsi="Times New Roman"/>
        </w:rPr>
        <w:t xml:space="preserve">substantively challenging </w:t>
      </w:r>
      <w:r w:rsidR="008C1A30">
        <w:rPr>
          <w:rFonts w:ascii="Times New Roman" w:hAnsi="Times New Roman"/>
        </w:rPr>
        <w:t xml:space="preserve">initiatives </w:t>
      </w:r>
      <w:r w:rsidR="0042520B">
        <w:rPr>
          <w:rFonts w:ascii="Times New Roman" w:hAnsi="Times New Roman"/>
        </w:rPr>
        <w:t>under the best of circumstances, but they become particularly difficult in times whe</w:t>
      </w:r>
      <w:r w:rsidR="00EA07B3">
        <w:rPr>
          <w:rFonts w:ascii="Times New Roman" w:hAnsi="Times New Roman"/>
        </w:rPr>
        <w:t>n</w:t>
      </w:r>
      <w:r w:rsidR="0042520B">
        <w:rPr>
          <w:rFonts w:ascii="Times New Roman" w:hAnsi="Times New Roman"/>
        </w:rPr>
        <w:t xml:space="preserve"> companies are struggling to </w:t>
      </w:r>
      <w:r w:rsidR="008C1A30">
        <w:rPr>
          <w:rFonts w:ascii="Times New Roman" w:hAnsi="Times New Roman"/>
        </w:rPr>
        <w:t>survive very tough economic conditions and resou</w:t>
      </w:r>
      <w:r w:rsidR="00172D42">
        <w:rPr>
          <w:rFonts w:ascii="Times New Roman" w:hAnsi="Times New Roman"/>
        </w:rPr>
        <w:t xml:space="preserve">rces are severely constrained.  </w:t>
      </w:r>
      <w:r w:rsidR="008B6813">
        <w:rPr>
          <w:rFonts w:ascii="Times New Roman" w:hAnsi="Times New Roman"/>
        </w:rPr>
        <w:t xml:space="preserve">Companies expanding globally are continually faced with the challenge of identifying, understanding and applying new laws and regulations in the countries in which they operate.  </w:t>
      </w:r>
      <w:r w:rsidR="00936452">
        <w:rPr>
          <w:rFonts w:ascii="Times New Roman" w:hAnsi="Times New Roman"/>
        </w:rPr>
        <w:t xml:space="preserve">Of course, </w:t>
      </w:r>
      <w:smartTag w:uri="urn:schemas-microsoft-com:office:smarttags" w:element="country-region">
        <w:smartTag w:uri="urn:schemas-microsoft-com:office:smarttags" w:element="place">
          <w:r w:rsidR="00F664D5">
            <w:rPr>
              <w:rFonts w:ascii="Times New Roman" w:hAnsi="Times New Roman"/>
            </w:rPr>
            <w:t>U.S.</w:t>
          </w:r>
        </w:smartTag>
      </w:smartTag>
      <w:r w:rsidR="00F664D5">
        <w:rPr>
          <w:rFonts w:ascii="Times New Roman" w:hAnsi="Times New Roman"/>
        </w:rPr>
        <w:t xml:space="preserve"> </w:t>
      </w:r>
      <w:r w:rsidR="00936452">
        <w:rPr>
          <w:rFonts w:ascii="Times New Roman" w:hAnsi="Times New Roman"/>
        </w:rPr>
        <w:t>government regulators have adopted a more aggressive enforcement attitude and are more focused on cooperatio</w:t>
      </w:r>
      <w:r w:rsidR="007E7FBA">
        <w:rPr>
          <w:rFonts w:ascii="Times New Roman" w:hAnsi="Times New Roman"/>
        </w:rPr>
        <w:t xml:space="preserve">n with their global counterparts </w:t>
      </w:r>
      <w:r w:rsidR="00F664D5">
        <w:rPr>
          <w:rFonts w:ascii="Times New Roman" w:hAnsi="Times New Roman"/>
        </w:rPr>
        <w:t>requiring extraordinary diligence in compliance areas such as the Foreign Corrupt Practices Act.</w:t>
      </w:r>
      <w:r w:rsidR="00936452">
        <w:rPr>
          <w:rFonts w:ascii="Times New Roman" w:hAnsi="Times New Roman"/>
        </w:rPr>
        <w:t xml:space="preserve"> </w:t>
      </w:r>
      <w:r w:rsidR="00F664D5">
        <w:rPr>
          <w:rFonts w:ascii="Times New Roman" w:hAnsi="Times New Roman"/>
        </w:rPr>
        <w:t xml:space="preserve"> C</w:t>
      </w:r>
      <w:r w:rsidR="00DE4B00">
        <w:rPr>
          <w:rFonts w:ascii="Times New Roman" w:hAnsi="Times New Roman"/>
        </w:rPr>
        <w:t xml:space="preserve">ompanies contracting with the </w:t>
      </w:r>
      <w:smartTag w:uri="urn:schemas-microsoft-com:office:smarttags" w:element="country-region">
        <w:smartTag w:uri="urn:schemas-microsoft-com:office:smarttags" w:element="place">
          <w:r w:rsidR="00DE4B00">
            <w:rPr>
              <w:rFonts w:ascii="Times New Roman" w:hAnsi="Times New Roman"/>
            </w:rPr>
            <w:t>U.S.</w:t>
          </w:r>
        </w:smartTag>
      </w:smartTag>
      <w:r w:rsidR="00DE4B00">
        <w:rPr>
          <w:rFonts w:ascii="Times New Roman" w:hAnsi="Times New Roman"/>
        </w:rPr>
        <w:t xml:space="preserve"> gove</w:t>
      </w:r>
      <w:r w:rsidR="00F36FAB">
        <w:rPr>
          <w:rFonts w:ascii="Times New Roman" w:hAnsi="Times New Roman"/>
        </w:rPr>
        <w:t>rnment are adjusting to a raft of changes in</w:t>
      </w:r>
      <w:r w:rsidR="00F664D5">
        <w:rPr>
          <w:rFonts w:ascii="Times New Roman" w:hAnsi="Times New Roman"/>
        </w:rPr>
        <w:t xml:space="preserve"> False Claims </w:t>
      </w:r>
      <w:r w:rsidR="007E1884">
        <w:rPr>
          <w:rFonts w:ascii="Times New Roman" w:hAnsi="Times New Roman"/>
        </w:rPr>
        <w:t xml:space="preserve">Act </w:t>
      </w:r>
      <w:r w:rsidR="00F664D5">
        <w:rPr>
          <w:rFonts w:ascii="Times New Roman" w:hAnsi="Times New Roman"/>
        </w:rPr>
        <w:t xml:space="preserve">compliance and </w:t>
      </w:r>
      <w:r w:rsidR="00F36FAB">
        <w:rPr>
          <w:rFonts w:ascii="Times New Roman" w:hAnsi="Times New Roman"/>
        </w:rPr>
        <w:t>acquisition regulation</w:t>
      </w:r>
      <w:r w:rsidR="00DC2B1F">
        <w:rPr>
          <w:rFonts w:ascii="Times New Roman" w:hAnsi="Times New Roman"/>
        </w:rPr>
        <w:t xml:space="preserve">s </w:t>
      </w:r>
      <w:r w:rsidR="00F36FAB">
        <w:rPr>
          <w:rFonts w:ascii="Times New Roman" w:hAnsi="Times New Roman"/>
        </w:rPr>
        <w:t>and new laws and regulations involving mandatory disclosure of non-compliance and organizational conflicts of interest</w:t>
      </w:r>
      <w:r w:rsidR="005666F1">
        <w:rPr>
          <w:rFonts w:ascii="Times New Roman" w:hAnsi="Times New Roman"/>
        </w:rPr>
        <w:t xml:space="preserve">. </w:t>
      </w:r>
    </w:p>
    <w:p w:rsidR="008B6813" w:rsidRDefault="008B6813" w:rsidP="000101AE">
      <w:pPr>
        <w:pStyle w:val="NoSpacing"/>
        <w:jc w:val="both"/>
        <w:rPr>
          <w:rFonts w:ascii="Times New Roman" w:hAnsi="Times New Roman"/>
        </w:rPr>
      </w:pPr>
    </w:p>
    <w:p w:rsidR="00D55DFE" w:rsidRDefault="00172D42" w:rsidP="000101AE">
      <w:pPr>
        <w:pStyle w:val="NoSpacing"/>
        <w:jc w:val="both"/>
        <w:rPr>
          <w:rFonts w:ascii="Times New Roman" w:hAnsi="Times New Roman"/>
        </w:rPr>
      </w:pPr>
      <w:r>
        <w:rPr>
          <w:rFonts w:ascii="Times New Roman" w:hAnsi="Times New Roman"/>
        </w:rPr>
        <w:t xml:space="preserve">Corporate Governance </w:t>
      </w:r>
      <w:r w:rsidR="00792070">
        <w:rPr>
          <w:rFonts w:ascii="Times New Roman" w:hAnsi="Times New Roman"/>
        </w:rPr>
        <w:t xml:space="preserve">is rapidly changing </w:t>
      </w:r>
      <w:r w:rsidR="007E1884">
        <w:rPr>
          <w:rFonts w:ascii="Times New Roman" w:hAnsi="Times New Roman"/>
        </w:rPr>
        <w:t xml:space="preserve">at the same time </w:t>
      </w:r>
      <w:r w:rsidR="00792070">
        <w:rPr>
          <w:rFonts w:ascii="Times New Roman" w:hAnsi="Times New Roman"/>
        </w:rPr>
        <w:t xml:space="preserve">and general counsels are required to devote an increasing amount of their time to these issues.  </w:t>
      </w:r>
      <w:r w:rsidR="00010641">
        <w:rPr>
          <w:rFonts w:ascii="Times New Roman" w:hAnsi="Times New Roman"/>
        </w:rPr>
        <w:t>M</w:t>
      </w:r>
      <w:r w:rsidR="00EA07B3">
        <w:rPr>
          <w:rFonts w:ascii="Times New Roman" w:hAnsi="Times New Roman"/>
        </w:rPr>
        <w:t xml:space="preserve">uch of the blame for the financial crisis has been directed at “poor corporate governance” </w:t>
      </w:r>
      <w:r w:rsidR="00010641">
        <w:rPr>
          <w:rFonts w:ascii="Times New Roman" w:hAnsi="Times New Roman"/>
        </w:rPr>
        <w:t xml:space="preserve">and as a consequence </w:t>
      </w:r>
      <w:r w:rsidR="00EA07B3">
        <w:rPr>
          <w:rFonts w:ascii="Times New Roman" w:hAnsi="Times New Roman"/>
        </w:rPr>
        <w:t xml:space="preserve">U.S. public companies </w:t>
      </w:r>
      <w:r w:rsidR="00874B3C">
        <w:rPr>
          <w:rFonts w:ascii="Times New Roman" w:hAnsi="Times New Roman"/>
        </w:rPr>
        <w:t xml:space="preserve">are required to adapt </w:t>
      </w:r>
      <w:r w:rsidR="00EA07B3">
        <w:rPr>
          <w:rFonts w:ascii="Times New Roman" w:hAnsi="Times New Roman"/>
        </w:rPr>
        <w:t xml:space="preserve">to sweeping statutory and regulatory changes </w:t>
      </w:r>
      <w:r w:rsidR="00313E2B">
        <w:rPr>
          <w:rFonts w:ascii="Times New Roman" w:hAnsi="Times New Roman"/>
        </w:rPr>
        <w:t>which materially impact governance issues</w:t>
      </w:r>
      <w:r w:rsidR="00E21E49">
        <w:rPr>
          <w:rFonts w:ascii="Times New Roman" w:hAnsi="Times New Roman"/>
        </w:rPr>
        <w:t>,</w:t>
      </w:r>
      <w:r w:rsidR="00313E2B">
        <w:rPr>
          <w:rFonts w:ascii="Times New Roman" w:hAnsi="Times New Roman"/>
        </w:rPr>
        <w:t xml:space="preserve"> such as director elections</w:t>
      </w:r>
      <w:r w:rsidR="00E21E49">
        <w:rPr>
          <w:rFonts w:ascii="Times New Roman" w:hAnsi="Times New Roman"/>
        </w:rPr>
        <w:t>,</w:t>
      </w:r>
      <w:r w:rsidR="008323FF">
        <w:rPr>
          <w:rFonts w:ascii="Times New Roman" w:hAnsi="Times New Roman"/>
        </w:rPr>
        <w:t xml:space="preserve"> and require new and extensive disclosure in executive compensation, director qualifications, board governance </w:t>
      </w:r>
      <w:r w:rsidR="00874B3C">
        <w:rPr>
          <w:rFonts w:ascii="Times New Roman" w:hAnsi="Times New Roman"/>
        </w:rPr>
        <w:t xml:space="preserve">matters </w:t>
      </w:r>
      <w:r w:rsidR="008323FF">
        <w:rPr>
          <w:rFonts w:ascii="Times New Roman" w:hAnsi="Times New Roman"/>
        </w:rPr>
        <w:t xml:space="preserve">such as separation of Chairman and CEO positions, </w:t>
      </w:r>
      <w:r w:rsidR="00874B3C">
        <w:rPr>
          <w:rFonts w:ascii="Times New Roman" w:hAnsi="Times New Roman"/>
        </w:rPr>
        <w:t>and risk oversight by directors.</w:t>
      </w:r>
      <w:r w:rsidR="00200895">
        <w:rPr>
          <w:rFonts w:ascii="Times New Roman" w:hAnsi="Times New Roman"/>
        </w:rPr>
        <w:t xml:space="preserve">  The </w:t>
      </w:r>
      <w:r w:rsidR="00763B47">
        <w:rPr>
          <w:rFonts w:ascii="Times New Roman" w:hAnsi="Times New Roman"/>
        </w:rPr>
        <w:t xml:space="preserve">legislative and </w:t>
      </w:r>
      <w:r w:rsidR="00200895">
        <w:rPr>
          <w:rFonts w:ascii="Times New Roman" w:hAnsi="Times New Roman"/>
        </w:rPr>
        <w:t xml:space="preserve">regulatory pendulum </w:t>
      </w:r>
      <w:r w:rsidR="00763B47">
        <w:rPr>
          <w:rFonts w:ascii="Times New Roman" w:hAnsi="Times New Roman"/>
        </w:rPr>
        <w:t>has swung dramatically</w:t>
      </w:r>
      <w:r w:rsidR="006D1FAC">
        <w:rPr>
          <w:rFonts w:ascii="Times New Roman" w:hAnsi="Times New Roman"/>
        </w:rPr>
        <w:t xml:space="preserve"> and, i</w:t>
      </w:r>
      <w:r w:rsidR="00763B47">
        <w:rPr>
          <w:rFonts w:ascii="Times New Roman" w:hAnsi="Times New Roman"/>
        </w:rPr>
        <w:t xml:space="preserve">n fact, </w:t>
      </w:r>
      <w:r w:rsidR="001D5B64">
        <w:rPr>
          <w:rFonts w:ascii="Times New Roman" w:hAnsi="Times New Roman"/>
        </w:rPr>
        <w:t>it likely has not reached its apex.  W</w:t>
      </w:r>
      <w:r w:rsidR="00687388">
        <w:rPr>
          <w:rFonts w:ascii="Times New Roman" w:hAnsi="Times New Roman"/>
        </w:rPr>
        <w:t xml:space="preserve">e now regularly hear corporate governance </w:t>
      </w:r>
      <w:r w:rsidR="00D37F2A">
        <w:rPr>
          <w:rFonts w:ascii="Times New Roman" w:hAnsi="Times New Roman"/>
        </w:rPr>
        <w:t xml:space="preserve">experts </w:t>
      </w:r>
      <w:r w:rsidR="00687388">
        <w:rPr>
          <w:rFonts w:ascii="Times New Roman" w:hAnsi="Times New Roman"/>
        </w:rPr>
        <w:t>openly questioning whether the best public board directors may decide they have had enough.</w:t>
      </w:r>
      <w:r w:rsidR="00200895">
        <w:rPr>
          <w:rFonts w:ascii="Times New Roman" w:hAnsi="Times New Roman"/>
        </w:rPr>
        <w:t xml:space="preserve"> </w:t>
      </w:r>
      <w:r w:rsidR="004E4409">
        <w:rPr>
          <w:rFonts w:ascii="Times New Roman" w:hAnsi="Times New Roman"/>
        </w:rPr>
        <w:t xml:space="preserve">We are not likely to see the situation become that dire.  Boards and management </w:t>
      </w:r>
      <w:r w:rsidR="006D1FAC">
        <w:rPr>
          <w:rFonts w:ascii="Times New Roman" w:hAnsi="Times New Roman"/>
        </w:rPr>
        <w:t>are resilient</w:t>
      </w:r>
      <w:r w:rsidR="00F42AFA">
        <w:rPr>
          <w:rFonts w:ascii="Times New Roman" w:hAnsi="Times New Roman"/>
        </w:rPr>
        <w:t>.  T</w:t>
      </w:r>
      <w:r w:rsidR="006D1FAC">
        <w:rPr>
          <w:rFonts w:ascii="Times New Roman" w:hAnsi="Times New Roman"/>
        </w:rPr>
        <w:t xml:space="preserve">hey </w:t>
      </w:r>
      <w:r w:rsidR="004E4409">
        <w:rPr>
          <w:rFonts w:ascii="Times New Roman" w:hAnsi="Times New Roman"/>
        </w:rPr>
        <w:t xml:space="preserve">will adjust and comply.  However, these changes do come with substantial costs which have real impact on the global competitiveness of </w:t>
      </w:r>
      <w:smartTag w:uri="urn:schemas-microsoft-com:office:smarttags" w:element="country-region">
        <w:smartTag w:uri="urn:schemas-microsoft-com:office:smarttags" w:element="place">
          <w:r w:rsidR="004E4409">
            <w:rPr>
              <w:rFonts w:ascii="Times New Roman" w:hAnsi="Times New Roman"/>
            </w:rPr>
            <w:t>U.S.</w:t>
          </w:r>
        </w:smartTag>
      </w:smartTag>
      <w:r w:rsidR="004E4409">
        <w:rPr>
          <w:rFonts w:ascii="Times New Roman" w:hAnsi="Times New Roman"/>
        </w:rPr>
        <w:t xml:space="preserve"> companies.  </w:t>
      </w:r>
      <w:r w:rsidR="00D37F2A">
        <w:rPr>
          <w:rFonts w:ascii="Times New Roman" w:hAnsi="Times New Roman"/>
        </w:rPr>
        <w:t xml:space="preserve">And boards and management are not sanguine about </w:t>
      </w:r>
      <w:r w:rsidR="00763B47">
        <w:rPr>
          <w:rFonts w:ascii="Times New Roman" w:hAnsi="Times New Roman"/>
        </w:rPr>
        <w:t xml:space="preserve">how far afield the SEC’s </w:t>
      </w:r>
      <w:r w:rsidR="00872255">
        <w:rPr>
          <w:rFonts w:ascii="Times New Roman" w:hAnsi="Times New Roman"/>
        </w:rPr>
        <w:t xml:space="preserve">new </w:t>
      </w:r>
      <w:r w:rsidR="00D37F2A">
        <w:rPr>
          <w:rFonts w:ascii="Times New Roman" w:hAnsi="Times New Roman"/>
        </w:rPr>
        <w:t xml:space="preserve">proxy access </w:t>
      </w:r>
      <w:r w:rsidR="00872255">
        <w:rPr>
          <w:rFonts w:ascii="Times New Roman" w:hAnsi="Times New Roman"/>
        </w:rPr>
        <w:t>rules</w:t>
      </w:r>
      <w:r w:rsidR="00763B47">
        <w:rPr>
          <w:rFonts w:ascii="Times New Roman" w:hAnsi="Times New Roman"/>
        </w:rPr>
        <w:t xml:space="preserve"> </w:t>
      </w:r>
      <w:r w:rsidR="004F0E70">
        <w:rPr>
          <w:rFonts w:ascii="Times New Roman" w:hAnsi="Times New Roman"/>
        </w:rPr>
        <w:t xml:space="preserve">could </w:t>
      </w:r>
      <w:r w:rsidR="00763B47">
        <w:rPr>
          <w:rFonts w:ascii="Times New Roman" w:hAnsi="Times New Roman"/>
        </w:rPr>
        <w:t>take us from well settled notions of shareholder and board rights and responsibilities</w:t>
      </w:r>
      <w:r w:rsidR="00872255">
        <w:rPr>
          <w:rFonts w:ascii="Times New Roman" w:hAnsi="Times New Roman"/>
        </w:rPr>
        <w:t>.</w:t>
      </w:r>
      <w:r w:rsidR="00D37F2A">
        <w:rPr>
          <w:rFonts w:ascii="Times New Roman" w:hAnsi="Times New Roman"/>
        </w:rPr>
        <w:t xml:space="preserve"> </w:t>
      </w:r>
    </w:p>
    <w:p w:rsidR="00874B3C" w:rsidRDefault="00874B3C" w:rsidP="000101AE">
      <w:pPr>
        <w:pStyle w:val="NoSpacing"/>
        <w:jc w:val="both"/>
        <w:rPr>
          <w:rFonts w:ascii="Times New Roman" w:hAnsi="Times New Roman"/>
        </w:rPr>
      </w:pPr>
    </w:p>
    <w:p w:rsidR="002A67B9" w:rsidRDefault="002C45D9" w:rsidP="002A67B9">
      <w:pPr>
        <w:pStyle w:val="NoSpacing"/>
        <w:jc w:val="both"/>
        <w:rPr>
          <w:rFonts w:ascii="Times New Roman" w:hAnsi="Times New Roman"/>
        </w:rPr>
      </w:pPr>
      <w:r>
        <w:rPr>
          <w:rFonts w:ascii="Times New Roman" w:hAnsi="Times New Roman"/>
        </w:rPr>
        <w:t xml:space="preserve">The purpose of this article is to offer perspectives from </w:t>
      </w:r>
      <w:r w:rsidR="00487BED">
        <w:rPr>
          <w:rFonts w:ascii="Times New Roman" w:hAnsi="Times New Roman"/>
        </w:rPr>
        <w:t xml:space="preserve">one general counsel’s </w:t>
      </w:r>
      <w:r>
        <w:rPr>
          <w:rFonts w:ascii="Times New Roman" w:hAnsi="Times New Roman"/>
        </w:rPr>
        <w:t xml:space="preserve">experiences over the past two years in leading </w:t>
      </w:r>
      <w:r w:rsidR="00487BED">
        <w:rPr>
          <w:rFonts w:ascii="Times New Roman" w:hAnsi="Times New Roman"/>
        </w:rPr>
        <w:t xml:space="preserve">enterprise-wide </w:t>
      </w:r>
      <w:r>
        <w:rPr>
          <w:rFonts w:ascii="Times New Roman" w:hAnsi="Times New Roman"/>
        </w:rPr>
        <w:t xml:space="preserve">initiatives to design, organize and implement </w:t>
      </w:r>
      <w:r w:rsidR="00487BED">
        <w:rPr>
          <w:rFonts w:ascii="Times New Roman" w:hAnsi="Times New Roman"/>
        </w:rPr>
        <w:t>risk management and compliance programs</w:t>
      </w:r>
      <w:r w:rsidR="00422191">
        <w:rPr>
          <w:rFonts w:ascii="Times New Roman" w:hAnsi="Times New Roman"/>
        </w:rPr>
        <w:t xml:space="preserve"> on a global basis</w:t>
      </w:r>
      <w:r w:rsidR="00697C7B">
        <w:rPr>
          <w:rFonts w:ascii="Times New Roman" w:hAnsi="Times New Roman"/>
        </w:rPr>
        <w:t xml:space="preserve"> and in assisting the board of directors to understand and implement best practices for oversight of these management responsibilities.</w:t>
      </w:r>
    </w:p>
    <w:p w:rsidR="002A67B9" w:rsidRDefault="002A67B9" w:rsidP="002A67B9">
      <w:pPr>
        <w:pStyle w:val="NoSpacing"/>
        <w:jc w:val="both"/>
        <w:rPr>
          <w:rFonts w:ascii="Times New Roman" w:hAnsi="Times New Roman"/>
        </w:rPr>
      </w:pPr>
    </w:p>
    <w:p w:rsidR="002A67B9" w:rsidRDefault="006553F0" w:rsidP="002A67B9">
      <w:pPr>
        <w:pStyle w:val="NoSpacing"/>
        <w:jc w:val="both"/>
        <w:rPr>
          <w:b/>
        </w:rPr>
      </w:pPr>
      <w:r>
        <w:rPr>
          <w:b/>
        </w:rPr>
        <w:t xml:space="preserve">THE BOARD’S </w:t>
      </w:r>
      <w:smartTag w:uri="urn:schemas-microsoft-com:office:smarttags" w:element="City">
        <w:r>
          <w:rPr>
            <w:b/>
          </w:rPr>
          <w:t>PERSPECTIVE</w:t>
        </w:r>
      </w:smartTag>
      <w:r>
        <w:rPr>
          <w:b/>
        </w:rPr>
        <w:t xml:space="preserve"> </w:t>
      </w:r>
      <w:smartTag w:uri="urn:schemas-microsoft-com:office:smarttags" w:element="State">
        <w:r>
          <w:rPr>
            <w:b/>
          </w:rPr>
          <w:t>ON</w:t>
        </w:r>
      </w:smartTag>
      <w:r>
        <w:rPr>
          <w:b/>
        </w:rPr>
        <w:t xml:space="preserve"> </w:t>
      </w:r>
      <w:smartTag w:uri="urn:schemas-microsoft-com:office:smarttags" w:element="City">
        <w:smartTag w:uri="urn:schemas-microsoft-com:office:smarttags" w:element="place">
          <w:r w:rsidR="002A67B9">
            <w:rPr>
              <w:b/>
            </w:rPr>
            <w:t>ENTERPRI</w:t>
          </w:r>
          <w:r>
            <w:rPr>
              <w:b/>
            </w:rPr>
            <w:t>SE</w:t>
          </w:r>
        </w:smartTag>
      </w:smartTag>
      <w:r>
        <w:rPr>
          <w:b/>
        </w:rPr>
        <w:t xml:space="preserve"> RISK </w:t>
      </w:r>
      <w:r w:rsidR="00781C99">
        <w:rPr>
          <w:b/>
        </w:rPr>
        <w:t xml:space="preserve">MANAGEMENT </w:t>
      </w:r>
      <w:r>
        <w:rPr>
          <w:b/>
        </w:rPr>
        <w:t xml:space="preserve">AND COMPLIANCE </w:t>
      </w:r>
    </w:p>
    <w:p w:rsidR="002A67B9" w:rsidRDefault="002A67B9" w:rsidP="002A67B9">
      <w:pPr>
        <w:pStyle w:val="NoSpacing"/>
        <w:jc w:val="both"/>
        <w:rPr>
          <w:b/>
        </w:rPr>
      </w:pPr>
    </w:p>
    <w:p w:rsidR="005A04D0" w:rsidRDefault="00BB22EF" w:rsidP="002A67B9">
      <w:pPr>
        <w:pStyle w:val="NoSpacing"/>
        <w:jc w:val="both"/>
        <w:rPr>
          <w:rFonts w:ascii="Times New Roman" w:hAnsi="Times New Roman"/>
        </w:rPr>
      </w:pPr>
      <w:r>
        <w:rPr>
          <w:rFonts w:ascii="Times New Roman" w:hAnsi="Times New Roman"/>
        </w:rPr>
        <w:t xml:space="preserve">It is well understood by now that a board of directors has oversight responsibility for a public company’s risk management and compliance functions.  The question is how </w:t>
      </w:r>
      <w:r w:rsidR="009C482E">
        <w:rPr>
          <w:rFonts w:ascii="Times New Roman" w:hAnsi="Times New Roman"/>
        </w:rPr>
        <w:t xml:space="preserve">thoroughly and responsibly </w:t>
      </w:r>
      <w:r w:rsidR="000B0129">
        <w:rPr>
          <w:rFonts w:ascii="Times New Roman" w:hAnsi="Times New Roman"/>
        </w:rPr>
        <w:t xml:space="preserve">is </w:t>
      </w:r>
      <w:r>
        <w:rPr>
          <w:rFonts w:ascii="Times New Roman" w:hAnsi="Times New Roman"/>
        </w:rPr>
        <w:t>the board exercis</w:t>
      </w:r>
      <w:r w:rsidR="009C482E">
        <w:rPr>
          <w:rFonts w:ascii="Times New Roman" w:hAnsi="Times New Roman"/>
        </w:rPr>
        <w:t xml:space="preserve">ing </w:t>
      </w:r>
      <w:r>
        <w:rPr>
          <w:rFonts w:ascii="Times New Roman" w:hAnsi="Times New Roman"/>
        </w:rPr>
        <w:t>that oversight</w:t>
      </w:r>
      <w:r w:rsidR="000B0129">
        <w:rPr>
          <w:rFonts w:ascii="Times New Roman" w:hAnsi="Times New Roman"/>
        </w:rPr>
        <w:t>?</w:t>
      </w:r>
      <w:r w:rsidR="009C482E">
        <w:rPr>
          <w:rFonts w:ascii="Times New Roman" w:hAnsi="Times New Roman"/>
        </w:rPr>
        <w:t xml:space="preserve">  </w:t>
      </w:r>
    </w:p>
    <w:p w:rsidR="005A04D0" w:rsidRDefault="005A04D0" w:rsidP="002A67B9">
      <w:pPr>
        <w:pStyle w:val="NoSpacing"/>
        <w:jc w:val="both"/>
        <w:rPr>
          <w:rFonts w:ascii="Times New Roman" w:hAnsi="Times New Roman"/>
        </w:rPr>
      </w:pPr>
    </w:p>
    <w:p w:rsidR="002A67B9" w:rsidRDefault="009C482E" w:rsidP="002A67B9">
      <w:pPr>
        <w:pStyle w:val="NoSpacing"/>
        <w:jc w:val="both"/>
        <w:rPr>
          <w:rFonts w:ascii="Times New Roman" w:hAnsi="Times New Roman"/>
        </w:rPr>
      </w:pPr>
      <w:r>
        <w:rPr>
          <w:rFonts w:ascii="Times New Roman" w:hAnsi="Times New Roman"/>
        </w:rPr>
        <w:t>Certainly following the adoption of the Federal Sentencing Guidelines in 199</w:t>
      </w:r>
      <w:r w:rsidR="001F6DFE">
        <w:rPr>
          <w:rFonts w:ascii="Times New Roman" w:hAnsi="Times New Roman"/>
        </w:rPr>
        <w:t>1</w:t>
      </w:r>
      <w:r>
        <w:rPr>
          <w:rFonts w:ascii="Times New Roman" w:hAnsi="Times New Roman"/>
        </w:rPr>
        <w:t xml:space="preserve"> boards </w:t>
      </w:r>
      <w:r w:rsidR="006D0743">
        <w:rPr>
          <w:rFonts w:ascii="Times New Roman" w:hAnsi="Times New Roman"/>
        </w:rPr>
        <w:t>began to take c</w:t>
      </w:r>
      <w:r w:rsidR="001F6DFE">
        <w:rPr>
          <w:rFonts w:ascii="Times New Roman" w:hAnsi="Times New Roman"/>
        </w:rPr>
        <w:t>ompliance more seriously</w:t>
      </w:r>
      <w:r w:rsidR="009626C3">
        <w:rPr>
          <w:rFonts w:ascii="Times New Roman" w:hAnsi="Times New Roman"/>
        </w:rPr>
        <w:t>.  H</w:t>
      </w:r>
      <w:r w:rsidR="001F6DFE">
        <w:rPr>
          <w:rFonts w:ascii="Times New Roman" w:hAnsi="Times New Roman"/>
        </w:rPr>
        <w:t xml:space="preserve">owever, it was not unusual for companies to outgrow </w:t>
      </w:r>
      <w:r w:rsidR="002B1625">
        <w:rPr>
          <w:rFonts w:ascii="Times New Roman" w:hAnsi="Times New Roman"/>
        </w:rPr>
        <w:t xml:space="preserve">or become complacent about </w:t>
      </w:r>
      <w:r w:rsidR="001F6DFE">
        <w:rPr>
          <w:rFonts w:ascii="Times New Roman" w:hAnsi="Times New Roman"/>
        </w:rPr>
        <w:t>their compliance efforts and</w:t>
      </w:r>
      <w:r w:rsidR="009626C3">
        <w:rPr>
          <w:rFonts w:ascii="Times New Roman" w:hAnsi="Times New Roman"/>
        </w:rPr>
        <w:t xml:space="preserve"> to </w:t>
      </w:r>
      <w:r w:rsidR="00CD229D">
        <w:rPr>
          <w:rFonts w:ascii="Times New Roman" w:hAnsi="Times New Roman"/>
        </w:rPr>
        <w:t xml:space="preserve">resort to an </w:t>
      </w:r>
      <w:r w:rsidR="001F6DFE">
        <w:rPr>
          <w:rFonts w:ascii="Times New Roman" w:hAnsi="Times New Roman"/>
        </w:rPr>
        <w:t xml:space="preserve">ad hoc and reactionary </w:t>
      </w:r>
      <w:r w:rsidR="00CD229D">
        <w:rPr>
          <w:rFonts w:ascii="Times New Roman" w:hAnsi="Times New Roman"/>
        </w:rPr>
        <w:t>approach to compliance</w:t>
      </w:r>
      <w:r w:rsidR="001F6DFE">
        <w:rPr>
          <w:rFonts w:ascii="Times New Roman" w:hAnsi="Times New Roman"/>
        </w:rPr>
        <w:t xml:space="preserve">.  </w:t>
      </w:r>
      <w:r w:rsidR="009626C3">
        <w:rPr>
          <w:rFonts w:ascii="Times New Roman" w:hAnsi="Times New Roman"/>
        </w:rPr>
        <w:t xml:space="preserve">In </w:t>
      </w:r>
      <w:r w:rsidR="009C0B99">
        <w:rPr>
          <w:rFonts w:ascii="Times New Roman" w:hAnsi="Times New Roman"/>
        </w:rPr>
        <w:t xml:space="preserve">recent years boards have become increasingly interested in knowing and validating that management has in fact implemented a </w:t>
      </w:r>
      <w:r w:rsidR="001F6DFE">
        <w:rPr>
          <w:rFonts w:ascii="Times New Roman" w:hAnsi="Times New Roman"/>
        </w:rPr>
        <w:t xml:space="preserve">systematic </w:t>
      </w:r>
      <w:r w:rsidR="009C0B99">
        <w:rPr>
          <w:rFonts w:ascii="Times New Roman" w:hAnsi="Times New Roman"/>
        </w:rPr>
        <w:t xml:space="preserve">compliance program that in reality </w:t>
      </w:r>
      <w:r w:rsidR="00DD3F9B">
        <w:rPr>
          <w:rFonts w:ascii="Times New Roman" w:hAnsi="Times New Roman"/>
        </w:rPr>
        <w:t xml:space="preserve">is effective.  This increased awareness and concern is partially in </w:t>
      </w:r>
      <w:r>
        <w:rPr>
          <w:rFonts w:ascii="Times New Roman" w:hAnsi="Times New Roman"/>
        </w:rPr>
        <w:t xml:space="preserve">response to </w:t>
      </w:r>
      <w:r w:rsidR="000B0129">
        <w:rPr>
          <w:rFonts w:ascii="Times New Roman" w:hAnsi="Times New Roman"/>
        </w:rPr>
        <w:t>consequential e</w:t>
      </w:r>
      <w:r w:rsidR="001066C6">
        <w:rPr>
          <w:rFonts w:ascii="Times New Roman" w:hAnsi="Times New Roman"/>
        </w:rPr>
        <w:t xml:space="preserve">vents and trends </w:t>
      </w:r>
      <w:r>
        <w:rPr>
          <w:rFonts w:ascii="Times New Roman" w:hAnsi="Times New Roman"/>
        </w:rPr>
        <w:t xml:space="preserve">in this decade </w:t>
      </w:r>
      <w:r w:rsidR="001066C6">
        <w:rPr>
          <w:rFonts w:ascii="Times New Roman" w:hAnsi="Times New Roman"/>
        </w:rPr>
        <w:t xml:space="preserve">such as </w:t>
      </w:r>
      <w:r w:rsidR="0070267A">
        <w:rPr>
          <w:rFonts w:ascii="Times New Roman" w:hAnsi="Times New Roman"/>
        </w:rPr>
        <w:t xml:space="preserve">the </w:t>
      </w:r>
      <w:r w:rsidR="001066C6">
        <w:rPr>
          <w:rFonts w:ascii="Times New Roman" w:hAnsi="Times New Roman"/>
        </w:rPr>
        <w:t>Enron/World</w:t>
      </w:r>
      <w:r w:rsidR="0070267A">
        <w:rPr>
          <w:rFonts w:ascii="Times New Roman" w:hAnsi="Times New Roman"/>
        </w:rPr>
        <w:t>C</w:t>
      </w:r>
      <w:r w:rsidR="001066C6">
        <w:rPr>
          <w:rFonts w:ascii="Times New Roman" w:hAnsi="Times New Roman"/>
        </w:rPr>
        <w:t>om</w:t>
      </w:r>
      <w:r w:rsidR="0070267A">
        <w:rPr>
          <w:rFonts w:ascii="Times New Roman" w:hAnsi="Times New Roman"/>
        </w:rPr>
        <w:t>/Tyco</w:t>
      </w:r>
      <w:r w:rsidR="00DD3F9B">
        <w:rPr>
          <w:rFonts w:ascii="Times New Roman" w:hAnsi="Times New Roman"/>
        </w:rPr>
        <w:t xml:space="preserve"> </w:t>
      </w:r>
      <w:r w:rsidR="0070267A">
        <w:rPr>
          <w:rFonts w:ascii="Times New Roman" w:hAnsi="Times New Roman"/>
        </w:rPr>
        <w:t xml:space="preserve">scandals, compliance requirements under Sarbanes-Oxley, </w:t>
      </w:r>
      <w:r w:rsidR="00DD3F9B">
        <w:rPr>
          <w:rFonts w:ascii="Times New Roman" w:hAnsi="Times New Roman"/>
        </w:rPr>
        <w:t xml:space="preserve">and </w:t>
      </w:r>
      <w:r w:rsidR="001066C6">
        <w:rPr>
          <w:rFonts w:ascii="Times New Roman" w:hAnsi="Times New Roman"/>
        </w:rPr>
        <w:t xml:space="preserve">increased </w:t>
      </w:r>
      <w:r w:rsidR="006D1FAC">
        <w:rPr>
          <w:rFonts w:ascii="Times New Roman" w:hAnsi="Times New Roman"/>
        </w:rPr>
        <w:t xml:space="preserve">government </w:t>
      </w:r>
      <w:r w:rsidR="001066C6">
        <w:rPr>
          <w:rFonts w:ascii="Times New Roman" w:hAnsi="Times New Roman"/>
        </w:rPr>
        <w:t xml:space="preserve">enforcement of </w:t>
      </w:r>
      <w:r w:rsidR="00676B89">
        <w:rPr>
          <w:rFonts w:ascii="Times New Roman" w:hAnsi="Times New Roman"/>
        </w:rPr>
        <w:t>the Foreign Corrupt Practices Act</w:t>
      </w:r>
      <w:r w:rsidR="00DD3F9B">
        <w:rPr>
          <w:rFonts w:ascii="Times New Roman" w:hAnsi="Times New Roman"/>
        </w:rPr>
        <w:t>.  In addition</w:t>
      </w:r>
      <w:r w:rsidR="001066C6">
        <w:rPr>
          <w:rFonts w:ascii="Times New Roman" w:hAnsi="Times New Roman"/>
        </w:rPr>
        <w:t xml:space="preserve">, </w:t>
      </w:r>
      <w:r w:rsidR="00DD3F9B">
        <w:rPr>
          <w:rFonts w:ascii="Times New Roman" w:hAnsi="Times New Roman"/>
        </w:rPr>
        <w:t xml:space="preserve">with </w:t>
      </w:r>
      <w:r w:rsidR="006D1FAC">
        <w:rPr>
          <w:rFonts w:ascii="Times New Roman" w:hAnsi="Times New Roman"/>
        </w:rPr>
        <w:t xml:space="preserve">accelerating </w:t>
      </w:r>
      <w:r w:rsidR="00DD3F9B">
        <w:rPr>
          <w:rFonts w:ascii="Times New Roman" w:hAnsi="Times New Roman"/>
        </w:rPr>
        <w:t>globalization boards have become more sensitive to the myriad laws and regulations encountered by global business</w:t>
      </w:r>
      <w:r w:rsidR="006D1FAC">
        <w:rPr>
          <w:rFonts w:ascii="Times New Roman" w:hAnsi="Times New Roman"/>
        </w:rPr>
        <w:t>es</w:t>
      </w:r>
      <w:r w:rsidR="00DD3F9B">
        <w:rPr>
          <w:rFonts w:ascii="Times New Roman" w:hAnsi="Times New Roman"/>
        </w:rPr>
        <w:t>.  Boards are highly sensitive as well to vulnerabilities from technology developments, such as cyber security breaches</w:t>
      </w:r>
      <w:r w:rsidR="005A04D0">
        <w:rPr>
          <w:rFonts w:ascii="Times New Roman" w:hAnsi="Times New Roman"/>
        </w:rPr>
        <w:t xml:space="preserve">, data loss, and risks of moving to “cloud computing.”  </w:t>
      </w:r>
      <w:r w:rsidR="00DD3F9B">
        <w:rPr>
          <w:rFonts w:ascii="Times New Roman" w:hAnsi="Times New Roman"/>
        </w:rPr>
        <w:t xml:space="preserve">And the compliance challenges presented by the </w:t>
      </w:r>
      <w:r w:rsidR="006553F0">
        <w:rPr>
          <w:rFonts w:ascii="Times New Roman" w:hAnsi="Times New Roman"/>
        </w:rPr>
        <w:t xml:space="preserve">multi-jurisdictional and complex </w:t>
      </w:r>
      <w:r w:rsidR="005A04D0">
        <w:rPr>
          <w:rFonts w:ascii="Times New Roman" w:hAnsi="Times New Roman"/>
        </w:rPr>
        <w:t xml:space="preserve">web of data privacy laws and regulations have become </w:t>
      </w:r>
      <w:r w:rsidR="00676B89">
        <w:rPr>
          <w:rFonts w:ascii="Times New Roman" w:hAnsi="Times New Roman"/>
        </w:rPr>
        <w:t xml:space="preserve">all too </w:t>
      </w:r>
      <w:r w:rsidR="005A04D0">
        <w:rPr>
          <w:rFonts w:ascii="Times New Roman" w:hAnsi="Times New Roman"/>
        </w:rPr>
        <w:t xml:space="preserve">well known to directors.    </w:t>
      </w:r>
      <w:r w:rsidR="001066C6">
        <w:rPr>
          <w:rFonts w:ascii="Times New Roman" w:hAnsi="Times New Roman"/>
        </w:rPr>
        <w:t xml:space="preserve">  </w:t>
      </w:r>
    </w:p>
    <w:p w:rsidR="000B0129" w:rsidRDefault="000B0129" w:rsidP="002A67B9">
      <w:pPr>
        <w:pStyle w:val="NoSpacing"/>
        <w:jc w:val="both"/>
        <w:rPr>
          <w:rFonts w:ascii="Times New Roman" w:hAnsi="Times New Roman"/>
        </w:rPr>
      </w:pPr>
    </w:p>
    <w:p w:rsidR="000B0129" w:rsidRDefault="000B0129" w:rsidP="002A67B9">
      <w:pPr>
        <w:pStyle w:val="NoSpacing"/>
        <w:jc w:val="both"/>
        <w:rPr>
          <w:rFonts w:ascii="Times New Roman" w:hAnsi="Times New Roman"/>
        </w:rPr>
      </w:pPr>
      <w:r>
        <w:rPr>
          <w:rFonts w:ascii="Times New Roman" w:hAnsi="Times New Roman"/>
        </w:rPr>
        <w:t xml:space="preserve">Likewise, the enterprise risk management idea and discipline has been around for years and is fairly mature.  </w:t>
      </w:r>
      <w:r w:rsidR="00C032C9">
        <w:rPr>
          <w:rFonts w:ascii="Times New Roman" w:hAnsi="Times New Roman"/>
        </w:rPr>
        <w:t xml:space="preserve">However, for many companies it was not </w:t>
      </w:r>
      <w:r w:rsidR="00CD229D">
        <w:rPr>
          <w:rFonts w:ascii="Times New Roman" w:hAnsi="Times New Roman"/>
        </w:rPr>
        <w:t xml:space="preserve">such </w:t>
      </w:r>
      <w:r w:rsidR="00C032C9">
        <w:rPr>
          <w:rFonts w:ascii="Times New Roman" w:hAnsi="Times New Roman"/>
        </w:rPr>
        <w:t xml:space="preserve">a compelling idea that it was fully embraced by the business.  In fact, enterprise risk management done right is very challenging because it touches virtually every aspect of the enterprise and is heavily reliant on information technology tools and disciplined management processes.  </w:t>
      </w:r>
      <w:r w:rsidR="005C5D5F">
        <w:rPr>
          <w:rFonts w:ascii="Times New Roman" w:hAnsi="Times New Roman"/>
        </w:rPr>
        <w:t xml:space="preserve">It requires resources, investment and commitment by the business.  </w:t>
      </w:r>
      <w:r w:rsidR="00C032C9">
        <w:rPr>
          <w:rFonts w:ascii="Times New Roman" w:hAnsi="Times New Roman"/>
        </w:rPr>
        <w:t xml:space="preserve">As with compliance functions, many companies </w:t>
      </w:r>
      <w:r w:rsidR="005C5D5F">
        <w:rPr>
          <w:rFonts w:ascii="Times New Roman" w:hAnsi="Times New Roman"/>
        </w:rPr>
        <w:t xml:space="preserve">experimented with </w:t>
      </w:r>
      <w:r w:rsidR="00C032C9">
        <w:rPr>
          <w:rFonts w:ascii="Times New Roman" w:hAnsi="Times New Roman"/>
        </w:rPr>
        <w:t xml:space="preserve">bits and pieces of enterprise risk management and approached “risk” in an informal and ad hoc manner.  </w:t>
      </w:r>
      <w:r>
        <w:rPr>
          <w:rFonts w:ascii="Times New Roman" w:hAnsi="Times New Roman"/>
        </w:rPr>
        <w:t xml:space="preserve">But the global financial events of 2008 dramatically </w:t>
      </w:r>
      <w:r w:rsidR="009C0B99">
        <w:rPr>
          <w:rFonts w:ascii="Times New Roman" w:hAnsi="Times New Roman"/>
        </w:rPr>
        <w:t xml:space="preserve">sharpened </w:t>
      </w:r>
      <w:r>
        <w:rPr>
          <w:rFonts w:ascii="Times New Roman" w:hAnsi="Times New Roman"/>
        </w:rPr>
        <w:t xml:space="preserve">the focus of boards on </w:t>
      </w:r>
      <w:r w:rsidR="009C0B99">
        <w:rPr>
          <w:rFonts w:ascii="Times New Roman" w:hAnsi="Times New Roman"/>
        </w:rPr>
        <w:t>the actual effectiveness of the risk management functions on which companies were relying to identify and manage serious risks</w:t>
      </w:r>
      <w:r w:rsidR="000574DA">
        <w:rPr>
          <w:rFonts w:ascii="Times New Roman" w:hAnsi="Times New Roman"/>
        </w:rPr>
        <w:t xml:space="preserve"> to the </w:t>
      </w:r>
      <w:r w:rsidR="000574DA">
        <w:rPr>
          <w:rFonts w:ascii="Times New Roman" w:hAnsi="Times New Roman"/>
        </w:rPr>
        <w:lastRenderedPageBreak/>
        <w:t>business</w:t>
      </w:r>
      <w:r w:rsidR="009C0B99">
        <w:rPr>
          <w:rFonts w:ascii="Times New Roman" w:hAnsi="Times New Roman"/>
        </w:rPr>
        <w:t>.</w:t>
      </w:r>
      <w:r w:rsidR="002B1625">
        <w:rPr>
          <w:rFonts w:ascii="Times New Roman" w:hAnsi="Times New Roman"/>
        </w:rPr>
        <w:t xml:space="preserve">  Recently adopted SEC disclosure rules will also now require more attention from directors in terms of how they exercise their risk oversight responsibilities.</w:t>
      </w:r>
    </w:p>
    <w:p w:rsidR="009C0B99" w:rsidRDefault="009C0B99" w:rsidP="002A67B9">
      <w:pPr>
        <w:pStyle w:val="NoSpacing"/>
        <w:jc w:val="both"/>
        <w:rPr>
          <w:rFonts w:ascii="Times New Roman" w:hAnsi="Times New Roman"/>
        </w:rPr>
      </w:pPr>
    </w:p>
    <w:p w:rsidR="009C0B99" w:rsidRPr="003E19DA" w:rsidRDefault="009C0B99" w:rsidP="002A67B9">
      <w:pPr>
        <w:pStyle w:val="NoSpacing"/>
        <w:jc w:val="both"/>
        <w:rPr>
          <w:rFonts w:ascii="Times New Roman" w:hAnsi="Times New Roman"/>
          <w:i/>
        </w:rPr>
      </w:pPr>
      <w:r>
        <w:rPr>
          <w:rFonts w:ascii="Times New Roman" w:hAnsi="Times New Roman"/>
        </w:rPr>
        <w:t>In both areas, Enterprise Risk Management</w:t>
      </w:r>
      <w:r w:rsidR="005A04D0">
        <w:rPr>
          <w:rFonts w:ascii="Times New Roman" w:hAnsi="Times New Roman"/>
        </w:rPr>
        <w:t xml:space="preserve"> and Global Compliance, boards now are insisting on </w:t>
      </w:r>
      <w:r w:rsidR="00C032C9">
        <w:rPr>
          <w:rFonts w:ascii="Times New Roman" w:hAnsi="Times New Roman"/>
          <w:i/>
        </w:rPr>
        <w:t>visibility</w:t>
      </w:r>
      <w:r w:rsidR="00C032C9">
        <w:rPr>
          <w:rFonts w:ascii="Times New Roman" w:hAnsi="Times New Roman"/>
        </w:rPr>
        <w:t xml:space="preserve">.  Directors want to see for themselves </w:t>
      </w:r>
      <w:r w:rsidR="000574DA">
        <w:rPr>
          <w:rFonts w:ascii="Times New Roman" w:hAnsi="Times New Roman"/>
        </w:rPr>
        <w:t xml:space="preserve">and thoroughly understand </w:t>
      </w:r>
      <w:r w:rsidR="005C5D5F">
        <w:rPr>
          <w:rFonts w:ascii="Times New Roman" w:hAnsi="Times New Roman"/>
        </w:rPr>
        <w:t>how these functions are designed and they want to have enough information to enable the board to judge for itself that management has adequately addressed risk and compliance.</w:t>
      </w:r>
      <w:r w:rsidR="003E19DA">
        <w:rPr>
          <w:rFonts w:ascii="Times New Roman" w:hAnsi="Times New Roman"/>
        </w:rPr>
        <w:t xml:space="preserve">  </w:t>
      </w:r>
      <w:r w:rsidR="003E19DA" w:rsidRPr="003E19DA">
        <w:rPr>
          <w:rFonts w:ascii="Times New Roman" w:hAnsi="Times New Roman"/>
          <w:i/>
        </w:rPr>
        <w:t>A general counsel should ensure that the directors are afforded this opportunity in a meaningful way.</w:t>
      </w:r>
    </w:p>
    <w:p w:rsidR="00E441C3" w:rsidRDefault="00E441C3" w:rsidP="002A67B9">
      <w:pPr>
        <w:pStyle w:val="NoSpacing"/>
        <w:jc w:val="both"/>
        <w:rPr>
          <w:rFonts w:ascii="Times New Roman" w:hAnsi="Times New Roman"/>
        </w:rPr>
      </w:pPr>
    </w:p>
    <w:p w:rsidR="0034693B" w:rsidRDefault="0034693B" w:rsidP="002A67B9">
      <w:pPr>
        <w:pStyle w:val="NoSpacing"/>
        <w:jc w:val="both"/>
        <w:rPr>
          <w:b/>
        </w:rPr>
      </w:pPr>
      <w:r>
        <w:rPr>
          <w:b/>
        </w:rPr>
        <w:t xml:space="preserve">A FRAMEWORK FOR </w:t>
      </w:r>
      <w:smartTag w:uri="urn:schemas-microsoft-com:office:smarttags" w:element="City">
        <w:smartTag w:uri="urn:schemas-microsoft-com:office:smarttags" w:element="place">
          <w:r>
            <w:rPr>
              <w:b/>
            </w:rPr>
            <w:t>ENTERPRISE</w:t>
          </w:r>
        </w:smartTag>
      </w:smartTag>
      <w:r>
        <w:rPr>
          <w:b/>
        </w:rPr>
        <w:t xml:space="preserve"> RISK MANAGEMENT </w:t>
      </w:r>
    </w:p>
    <w:p w:rsidR="0034693B" w:rsidRPr="0034693B" w:rsidRDefault="0034693B" w:rsidP="002A67B9">
      <w:pPr>
        <w:pStyle w:val="NoSpacing"/>
        <w:jc w:val="both"/>
        <w:rPr>
          <w:rFonts w:ascii="Times New Roman" w:hAnsi="Times New Roman"/>
          <w:b/>
        </w:rPr>
      </w:pPr>
    </w:p>
    <w:p w:rsidR="005C5D5F" w:rsidRDefault="000574DA" w:rsidP="002A67B9">
      <w:pPr>
        <w:pStyle w:val="NoSpacing"/>
        <w:jc w:val="both"/>
        <w:rPr>
          <w:rFonts w:ascii="Times New Roman" w:hAnsi="Times New Roman"/>
        </w:rPr>
      </w:pPr>
      <w:r>
        <w:rPr>
          <w:rFonts w:ascii="Times New Roman" w:hAnsi="Times New Roman"/>
        </w:rPr>
        <w:t xml:space="preserve">The first step then for management is to design the framework for </w:t>
      </w:r>
      <w:r w:rsidR="0034693B">
        <w:rPr>
          <w:rFonts w:ascii="Times New Roman" w:hAnsi="Times New Roman"/>
        </w:rPr>
        <w:t>an Enterprise Risk Management (“ERM”) program.  ERM</w:t>
      </w:r>
      <w:r w:rsidR="00E441C3">
        <w:rPr>
          <w:rFonts w:ascii="Times New Roman" w:hAnsi="Times New Roman"/>
        </w:rPr>
        <w:t xml:space="preserve"> is </w:t>
      </w:r>
      <w:r w:rsidR="0034693B">
        <w:rPr>
          <w:rFonts w:ascii="Times New Roman" w:hAnsi="Times New Roman"/>
        </w:rPr>
        <w:t>a</w:t>
      </w:r>
      <w:r w:rsidR="00E441C3">
        <w:rPr>
          <w:rFonts w:ascii="Times New Roman" w:hAnsi="Times New Roman"/>
        </w:rPr>
        <w:t xml:space="preserve"> broad “umbrella”</w:t>
      </w:r>
      <w:r w:rsidR="008855BF">
        <w:rPr>
          <w:rFonts w:ascii="Times New Roman" w:hAnsi="Times New Roman"/>
        </w:rPr>
        <w:t xml:space="preserve"> concept – it addresses several kinds of risk, including Compliance.  </w:t>
      </w:r>
      <w:r w:rsidR="00565B20">
        <w:rPr>
          <w:rFonts w:ascii="Times New Roman" w:hAnsi="Times New Roman"/>
        </w:rPr>
        <w:t xml:space="preserve">A novice </w:t>
      </w:r>
      <w:r>
        <w:rPr>
          <w:rFonts w:ascii="Times New Roman" w:hAnsi="Times New Roman"/>
        </w:rPr>
        <w:t xml:space="preserve">in these </w:t>
      </w:r>
      <w:r w:rsidR="00565B20">
        <w:rPr>
          <w:rFonts w:ascii="Times New Roman" w:hAnsi="Times New Roman"/>
        </w:rPr>
        <w:t xml:space="preserve">disciplines </w:t>
      </w:r>
      <w:r>
        <w:rPr>
          <w:rFonts w:ascii="Times New Roman" w:hAnsi="Times New Roman"/>
        </w:rPr>
        <w:t>can easily access enough information</w:t>
      </w:r>
      <w:r w:rsidR="00565B20">
        <w:rPr>
          <w:rFonts w:ascii="Times New Roman" w:hAnsi="Times New Roman"/>
        </w:rPr>
        <w:t xml:space="preserve"> through the internet, </w:t>
      </w:r>
      <w:r w:rsidR="0034693B">
        <w:rPr>
          <w:rFonts w:ascii="Times New Roman" w:hAnsi="Times New Roman"/>
        </w:rPr>
        <w:t xml:space="preserve">educational materials and </w:t>
      </w:r>
      <w:r w:rsidR="00565B20">
        <w:rPr>
          <w:rFonts w:ascii="Times New Roman" w:hAnsi="Times New Roman"/>
        </w:rPr>
        <w:t xml:space="preserve">books, professional associations, and from </w:t>
      </w:r>
      <w:r w:rsidR="00CF7FC4">
        <w:rPr>
          <w:rFonts w:ascii="Times New Roman" w:hAnsi="Times New Roman"/>
        </w:rPr>
        <w:t xml:space="preserve">dozens </w:t>
      </w:r>
      <w:r w:rsidR="00565B20">
        <w:rPr>
          <w:rFonts w:ascii="Times New Roman" w:hAnsi="Times New Roman"/>
        </w:rPr>
        <w:t xml:space="preserve">of IT and software providers and accounting </w:t>
      </w:r>
      <w:r w:rsidR="00393857">
        <w:rPr>
          <w:rFonts w:ascii="Times New Roman" w:hAnsi="Times New Roman"/>
        </w:rPr>
        <w:t xml:space="preserve">and consulting </w:t>
      </w:r>
      <w:r w:rsidR="00565B20">
        <w:rPr>
          <w:rFonts w:ascii="Times New Roman" w:hAnsi="Times New Roman"/>
        </w:rPr>
        <w:t xml:space="preserve">firms that </w:t>
      </w:r>
      <w:r w:rsidR="003E19DA">
        <w:rPr>
          <w:rFonts w:ascii="Times New Roman" w:hAnsi="Times New Roman"/>
        </w:rPr>
        <w:t xml:space="preserve">he or she would </w:t>
      </w:r>
      <w:r w:rsidR="00565B20">
        <w:rPr>
          <w:rFonts w:ascii="Times New Roman" w:hAnsi="Times New Roman"/>
        </w:rPr>
        <w:t>quickly become overwhelmed and find it dif</w:t>
      </w:r>
      <w:r w:rsidR="00E568A9">
        <w:rPr>
          <w:rFonts w:ascii="Times New Roman" w:hAnsi="Times New Roman"/>
        </w:rPr>
        <w:t xml:space="preserve">ficult to know where to start.  Indeed, if </w:t>
      </w:r>
      <w:r w:rsidR="0034693B">
        <w:rPr>
          <w:rFonts w:ascii="Times New Roman" w:hAnsi="Times New Roman"/>
        </w:rPr>
        <w:t xml:space="preserve">a company has </w:t>
      </w:r>
      <w:r w:rsidR="00E568A9">
        <w:rPr>
          <w:rFonts w:ascii="Times New Roman" w:hAnsi="Times New Roman"/>
        </w:rPr>
        <w:t xml:space="preserve">the luxury, </w:t>
      </w:r>
      <w:r w:rsidR="00973A42">
        <w:rPr>
          <w:rFonts w:ascii="Times New Roman" w:hAnsi="Times New Roman"/>
        </w:rPr>
        <w:t xml:space="preserve">retention of </w:t>
      </w:r>
      <w:r w:rsidR="00393857">
        <w:rPr>
          <w:rFonts w:ascii="Times New Roman" w:hAnsi="Times New Roman"/>
        </w:rPr>
        <w:t xml:space="preserve">a consultant to assist in the design of the framework can </w:t>
      </w:r>
      <w:r w:rsidR="003E19DA">
        <w:rPr>
          <w:rFonts w:ascii="Times New Roman" w:hAnsi="Times New Roman"/>
        </w:rPr>
        <w:t xml:space="preserve">be very valuable.  </w:t>
      </w:r>
      <w:r w:rsidR="003E19DA" w:rsidRPr="00B83CED">
        <w:rPr>
          <w:rFonts w:ascii="Times New Roman" w:hAnsi="Times New Roman"/>
          <w:i/>
        </w:rPr>
        <w:t>In any case, focus on sift</w:t>
      </w:r>
      <w:r w:rsidR="00B83CED" w:rsidRPr="00B83CED">
        <w:rPr>
          <w:rFonts w:ascii="Times New Roman" w:hAnsi="Times New Roman"/>
          <w:i/>
        </w:rPr>
        <w:t xml:space="preserve">ing through the data as efficiently as possible to gain a solid understanding of the fundamentals – then move forward with ideas for a framework that fits your company’s business, culture and </w:t>
      </w:r>
      <w:r w:rsidR="00973A42">
        <w:rPr>
          <w:rFonts w:ascii="Times New Roman" w:hAnsi="Times New Roman"/>
          <w:i/>
        </w:rPr>
        <w:t xml:space="preserve">particular </w:t>
      </w:r>
      <w:r w:rsidR="00B83CED" w:rsidRPr="00B83CED">
        <w:rPr>
          <w:rFonts w:ascii="Times New Roman" w:hAnsi="Times New Roman"/>
          <w:i/>
        </w:rPr>
        <w:t>circumstances.</w:t>
      </w:r>
      <w:r w:rsidR="00B83CED">
        <w:rPr>
          <w:rFonts w:ascii="Times New Roman" w:hAnsi="Times New Roman"/>
          <w:i/>
        </w:rPr>
        <w:t xml:space="preserve"> </w:t>
      </w:r>
      <w:r w:rsidR="00B83CED">
        <w:rPr>
          <w:rFonts w:ascii="Times New Roman" w:hAnsi="Times New Roman"/>
        </w:rPr>
        <w:t>It is important to begin the process of vetting ideas for the framework with oth</w:t>
      </w:r>
      <w:r w:rsidR="00973A42">
        <w:rPr>
          <w:rFonts w:ascii="Times New Roman" w:hAnsi="Times New Roman"/>
        </w:rPr>
        <w:t>er corporate and business units.</w:t>
      </w:r>
      <w:r w:rsidR="00B83CED">
        <w:rPr>
          <w:rFonts w:ascii="Times New Roman" w:hAnsi="Times New Roman"/>
        </w:rPr>
        <w:t xml:space="preserve">  </w:t>
      </w:r>
      <w:r w:rsidR="00B83CED" w:rsidRPr="00513CFC">
        <w:rPr>
          <w:rFonts w:ascii="Times New Roman" w:hAnsi="Times New Roman"/>
          <w:i/>
        </w:rPr>
        <w:t>It is critical that you come out of the gate with a framework and implementation plan that is pragmatic,</w:t>
      </w:r>
      <w:r w:rsidR="00513CFC">
        <w:rPr>
          <w:rFonts w:ascii="Times New Roman" w:hAnsi="Times New Roman"/>
          <w:i/>
        </w:rPr>
        <w:t xml:space="preserve"> fully</w:t>
      </w:r>
      <w:r w:rsidR="00B83CED" w:rsidRPr="00513CFC">
        <w:rPr>
          <w:rFonts w:ascii="Times New Roman" w:hAnsi="Times New Roman"/>
          <w:i/>
        </w:rPr>
        <w:t xml:space="preserve"> supported by executive management and the business, and </w:t>
      </w:r>
      <w:r w:rsidR="00513CFC">
        <w:rPr>
          <w:rFonts w:ascii="Times New Roman" w:hAnsi="Times New Roman"/>
          <w:i/>
        </w:rPr>
        <w:t xml:space="preserve">is clearly designed to </w:t>
      </w:r>
      <w:r w:rsidR="00B83CED" w:rsidRPr="00513CFC">
        <w:rPr>
          <w:rFonts w:ascii="Times New Roman" w:hAnsi="Times New Roman"/>
          <w:i/>
        </w:rPr>
        <w:t>result in real business value</w:t>
      </w:r>
      <w:r w:rsidR="00513CFC">
        <w:rPr>
          <w:rFonts w:ascii="Times New Roman" w:hAnsi="Times New Roman"/>
          <w:i/>
        </w:rPr>
        <w:t xml:space="preserve"> through improved business processes</w:t>
      </w:r>
      <w:r w:rsidR="006C5A31" w:rsidRPr="00513CFC">
        <w:rPr>
          <w:rFonts w:ascii="Times New Roman" w:hAnsi="Times New Roman"/>
          <w:i/>
        </w:rPr>
        <w:t>.</w:t>
      </w:r>
    </w:p>
    <w:p w:rsidR="00513CFC" w:rsidRDefault="00513CFC" w:rsidP="002A67B9">
      <w:pPr>
        <w:pStyle w:val="NoSpacing"/>
        <w:jc w:val="both"/>
        <w:rPr>
          <w:rFonts w:ascii="Times New Roman" w:hAnsi="Times New Roman"/>
        </w:rPr>
      </w:pPr>
    </w:p>
    <w:p w:rsidR="00513CFC" w:rsidRDefault="008855BF" w:rsidP="002A67B9">
      <w:pPr>
        <w:pStyle w:val="NoSpacing"/>
        <w:jc w:val="both"/>
        <w:rPr>
          <w:rFonts w:ascii="Times New Roman" w:hAnsi="Times New Roman"/>
        </w:rPr>
      </w:pPr>
      <w:r>
        <w:rPr>
          <w:rFonts w:ascii="Times New Roman" w:hAnsi="Times New Roman"/>
        </w:rPr>
        <w:t>So what should the general counsel’s role be at this stage?</w:t>
      </w:r>
      <w:r w:rsidR="007D6CE0">
        <w:rPr>
          <w:rFonts w:ascii="Times New Roman" w:hAnsi="Times New Roman"/>
        </w:rPr>
        <w:t xml:space="preserve">  Certainly the general counsel will be leading the design of the compliance program.  However, in its basic form E</w:t>
      </w:r>
      <w:r w:rsidR="00973A42">
        <w:rPr>
          <w:rFonts w:ascii="Times New Roman" w:hAnsi="Times New Roman"/>
        </w:rPr>
        <w:t>RM co</w:t>
      </w:r>
      <w:r w:rsidR="007D6CE0">
        <w:rPr>
          <w:rFonts w:ascii="Times New Roman" w:hAnsi="Times New Roman"/>
        </w:rPr>
        <w:t xml:space="preserve">mprises </w:t>
      </w:r>
      <w:r w:rsidR="00973A42">
        <w:rPr>
          <w:rFonts w:ascii="Times New Roman" w:hAnsi="Times New Roman"/>
        </w:rPr>
        <w:t xml:space="preserve">not only compliance risk but also </w:t>
      </w:r>
      <w:r w:rsidR="007D6CE0">
        <w:rPr>
          <w:rFonts w:ascii="Times New Roman" w:hAnsi="Times New Roman"/>
        </w:rPr>
        <w:t>strategic, operational</w:t>
      </w:r>
      <w:r w:rsidR="00973A42">
        <w:rPr>
          <w:rFonts w:ascii="Times New Roman" w:hAnsi="Times New Roman"/>
        </w:rPr>
        <w:t xml:space="preserve"> and</w:t>
      </w:r>
      <w:r w:rsidR="007D6CE0">
        <w:rPr>
          <w:rFonts w:ascii="Times New Roman" w:hAnsi="Times New Roman"/>
        </w:rPr>
        <w:t xml:space="preserve"> reporting</w:t>
      </w:r>
      <w:r w:rsidR="00973A42">
        <w:rPr>
          <w:rFonts w:ascii="Times New Roman" w:hAnsi="Times New Roman"/>
        </w:rPr>
        <w:t xml:space="preserve"> risk</w:t>
      </w:r>
      <w:r w:rsidR="007D6CE0">
        <w:rPr>
          <w:rFonts w:ascii="Times New Roman" w:hAnsi="Times New Roman"/>
        </w:rPr>
        <w:t xml:space="preserve">.  </w:t>
      </w:r>
      <w:r w:rsidR="007D6CE0" w:rsidRPr="00602172">
        <w:rPr>
          <w:rFonts w:ascii="Times New Roman" w:hAnsi="Times New Roman"/>
          <w:i/>
        </w:rPr>
        <w:t xml:space="preserve">While the general counsel will not be “expert” in the non-compliance risk areas, the general counsel could well be </w:t>
      </w:r>
      <w:r w:rsidR="00602172" w:rsidRPr="00602172">
        <w:rPr>
          <w:rFonts w:ascii="Times New Roman" w:hAnsi="Times New Roman"/>
          <w:i/>
        </w:rPr>
        <w:t xml:space="preserve">in the best position </w:t>
      </w:r>
      <w:r w:rsidR="007D6CE0" w:rsidRPr="00602172">
        <w:rPr>
          <w:rFonts w:ascii="Times New Roman" w:hAnsi="Times New Roman"/>
          <w:i/>
        </w:rPr>
        <w:t xml:space="preserve">among executive management to lead </w:t>
      </w:r>
      <w:r w:rsidR="00CF7FC4">
        <w:rPr>
          <w:rFonts w:ascii="Times New Roman" w:hAnsi="Times New Roman"/>
          <w:i/>
        </w:rPr>
        <w:t xml:space="preserve">collaborative discussions of </w:t>
      </w:r>
      <w:r w:rsidR="007D6CE0" w:rsidRPr="00602172">
        <w:rPr>
          <w:rFonts w:ascii="Times New Roman" w:hAnsi="Times New Roman"/>
          <w:i/>
        </w:rPr>
        <w:t xml:space="preserve">the </w:t>
      </w:r>
      <w:r w:rsidR="00EE7EFE">
        <w:rPr>
          <w:rFonts w:ascii="Times New Roman" w:hAnsi="Times New Roman"/>
          <w:i/>
        </w:rPr>
        <w:t xml:space="preserve">ERM </w:t>
      </w:r>
      <w:r w:rsidR="007D6CE0" w:rsidRPr="00602172">
        <w:rPr>
          <w:rFonts w:ascii="Times New Roman" w:hAnsi="Times New Roman"/>
          <w:i/>
        </w:rPr>
        <w:t>framework design</w:t>
      </w:r>
      <w:r w:rsidR="00602172" w:rsidRPr="00602172">
        <w:rPr>
          <w:rFonts w:ascii="Times New Roman" w:hAnsi="Times New Roman"/>
          <w:i/>
        </w:rPr>
        <w:t>.  T</w:t>
      </w:r>
      <w:r w:rsidR="007D6CE0" w:rsidRPr="00602172">
        <w:rPr>
          <w:rFonts w:ascii="Times New Roman" w:hAnsi="Times New Roman"/>
          <w:i/>
        </w:rPr>
        <w:t xml:space="preserve">he general counsel </w:t>
      </w:r>
      <w:r w:rsidR="00602172" w:rsidRPr="00602172">
        <w:rPr>
          <w:rFonts w:ascii="Times New Roman" w:hAnsi="Times New Roman"/>
          <w:i/>
        </w:rPr>
        <w:t>by experience should have a solid intuitive feel for these risks and how they interrelate and the general counsel should have the best understanding of the framework which will optimize the board’s visibility into the company’s ERM program</w:t>
      </w:r>
      <w:r w:rsidR="0038722C">
        <w:rPr>
          <w:rFonts w:ascii="Times New Roman" w:hAnsi="Times New Roman"/>
          <w:i/>
        </w:rPr>
        <w:t xml:space="preserve"> and the board’s ability to fulfill its oversight role</w:t>
      </w:r>
      <w:r w:rsidR="00602172" w:rsidRPr="00602172">
        <w:rPr>
          <w:rFonts w:ascii="Times New Roman" w:hAnsi="Times New Roman"/>
          <w:i/>
        </w:rPr>
        <w:t>.</w:t>
      </w:r>
      <w:r w:rsidR="0038722C">
        <w:rPr>
          <w:rFonts w:ascii="Times New Roman" w:hAnsi="Times New Roman"/>
          <w:i/>
        </w:rPr>
        <w:t xml:space="preserve"> </w:t>
      </w:r>
    </w:p>
    <w:p w:rsidR="0038722C" w:rsidRDefault="0038722C" w:rsidP="002A67B9">
      <w:pPr>
        <w:pStyle w:val="NoSpacing"/>
        <w:jc w:val="both"/>
        <w:rPr>
          <w:rFonts w:ascii="Times New Roman" w:hAnsi="Times New Roman"/>
        </w:rPr>
      </w:pPr>
    </w:p>
    <w:p w:rsidR="0038722C" w:rsidRPr="0038722C" w:rsidRDefault="00D85004" w:rsidP="002A67B9">
      <w:pPr>
        <w:pStyle w:val="NoSpacing"/>
        <w:jc w:val="both"/>
        <w:rPr>
          <w:rFonts w:ascii="Times New Roman" w:hAnsi="Times New Roman"/>
        </w:rPr>
      </w:pPr>
      <w:r>
        <w:rPr>
          <w:rFonts w:ascii="Times New Roman" w:hAnsi="Times New Roman"/>
        </w:rPr>
        <w:lastRenderedPageBreak/>
        <w:t xml:space="preserve">Before I describe CSC’s ERM framework, it is important to touch on board and CEO sponsorship of an ERM initiative.  I am very fortunate in that </w:t>
      </w:r>
      <w:r w:rsidR="00F25340">
        <w:rPr>
          <w:rFonts w:ascii="Times New Roman" w:hAnsi="Times New Roman"/>
        </w:rPr>
        <w:t xml:space="preserve">the CSC </w:t>
      </w:r>
      <w:r>
        <w:rPr>
          <w:rFonts w:ascii="Times New Roman" w:hAnsi="Times New Roman"/>
        </w:rPr>
        <w:t xml:space="preserve">board of directors and CEO enthusiastically support, and in fact, were the impetus for our company’s ERM program.  </w:t>
      </w:r>
      <w:r w:rsidR="00F25340">
        <w:rPr>
          <w:rFonts w:ascii="Times New Roman" w:hAnsi="Times New Roman"/>
        </w:rPr>
        <w:t xml:space="preserve">This is absolutely critical.  </w:t>
      </w:r>
      <w:r w:rsidR="00F25340" w:rsidRPr="00F25340">
        <w:rPr>
          <w:rFonts w:ascii="Times New Roman" w:hAnsi="Times New Roman"/>
          <w:i/>
        </w:rPr>
        <w:t>If you are a general counsel interested in initiating steps toward a formal ERM program and you do not have</w:t>
      </w:r>
      <w:r w:rsidR="001F090D">
        <w:rPr>
          <w:rFonts w:ascii="Times New Roman" w:hAnsi="Times New Roman"/>
          <w:i/>
        </w:rPr>
        <w:t xml:space="preserve"> the full support of your </w:t>
      </w:r>
      <w:r w:rsidR="00F25340" w:rsidRPr="00F25340">
        <w:rPr>
          <w:rFonts w:ascii="Times New Roman" w:hAnsi="Times New Roman"/>
          <w:i/>
        </w:rPr>
        <w:t>board</w:t>
      </w:r>
      <w:r w:rsidR="00A93117">
        <w:rPr>
          <w:rFonts w:ascii="Times New Roman" w:hAnsi="Times New Roman"/>
          <w:i/>
        </w:rPr>
        <w:t xml:space="preserve"> of directors</w:t>
      </w:r>
      <w:r w:rsidR="00F25340" w:rsidRPr="00F25340">
        <w:rPr>
          <w:rFonts w:ascii="Times New Roman" w:hAnsi="Times New Roman"/>
          <w:i/>
        </w:rPr>
        <w:t xml:space="preserve"> or</w:t>
      </w:r>
      <w:r w:rsidR="001F090D">
        <w:rPr>
          <w:rFonts w:ascii="Times New Roman" w:hAnsi="Times New Roman"/>
          <w:i/>
        </w:rPr>
        <w:t xml:space="preserve"> CEO, </w:t>
      </w:r>
      <w:r w:rsidR="00F25340" w:rsidRPr="00F25340">
        <w:rPr>
          <w:rFonts w:ascii="Times New Roman" w:hAnsi="Times New Roman"/>
          <w:i/>
        </w:rPr>
        <w:t>then you must expend your first efforts establishing that support.</w:t>
      </w:r>
      <w:r w:rsidR="00F25340">
        <w:rPr>
          <w:rFonts w:ascii="Times New Roman" w:hAnsi="Times New Roman"/>
        </w:rPr>
        <w:t xml:space="preserve">  An ERM initiative without this level of support will simply not succeed.</w:t>
      </w:r>
    </w:p>
    <w:p w:rsidR="0038722C" w:rsidRDefault="0038722C" w:rsidP="002A67B9">
      <w:pPr>
        <w:pStyle w:val="NoSpacing"/>
        <w:jc w:val="both"/>
        <w:rPr>
          <w:rFonts w:ascii="Times New Roman" w:hAnsi="Times New Roman"/>
        </w:rPr>
      </w:pPr>
    </w:p>
    <w:p w:rsidR="000A5D53" w:rsidRDefault="00A93117" w:rsidP="002A67B9">
      <w:pPr>
        <w:pStyle w:val="NoSpacing"/>
        <w:jc w:val="both"/>
        <w:rPr>
          <w:rFonts w:ascii="Times New Roman" w:hAnsi="Times New Roman"/>
        </w:rPr>
      </w:pPr>
      <w:r>
        <w:rPr>
          <w:rFonts w:ascii="Times New Roman" w:hAnsi="Times New Roman"/>
        </w:rPr>
        <w:t xml:space="preserve">We set about designing the CSC ERM framework to be as straightforward and pragmatic as possible.  </w:t>
      </w:r>
      <w:r w:rsidR="009C728A" w:rsidRPr="000A5D53">
        <w:rPr>
          <w:rFonts w:ascii="Times New Roman" w:hAnsi="Times New Roman"/>
          <w:i/>
        </w:rPr>
        <w:t xml:space="preserve">A fundamental tenet </w:t>
      </w:r>
      <w:r w:rsidR="000A5D53">
        <w:rPr>
          <w:rFonts w:ascii="Times New Roman" w:hAnsi="Times New Roman"/>
          <w:i/>
        </w:rPr>
        <w:t xml:space="preserve">of our </w:t>
      </w:r>
      <w:r w:rsidR="009C728A" w:rsidRPr="000A5D53">
        <w:rPr>
          <w:rFonts w:ascii="Times New Roman" w:hAnsi="Times New Roman"/>
          <w:i/>
        </w:rPr>
        <w:t xml:space="preserve">program was </w:t>
      </w:r>
      <w:r w:rsidR="000A5D53">
        <w:rPr>
          <w:rFonts w:ascii="Times New Roman" w:hAnsi="Times New Roman"/>
          <w:i/>
        </w:rPr>
        <w:t>that it would be d</w:t>
      </w:r>
      <w:r w:rsidR="009C728A" w:rsidRPr="000A5D53">
        <w:rPr>
          <w:rFonts w:ascii="Times New Roman" w:hAnsi="Times New Roman"/>
          <w:i/>
        </w:rPr>
        <w:t>esigned to ensure that responsibility and “ownership” of enterprise-wide risk was shared among the entire executive team.</w:t>
      </w:r>
      <w:r w:rsidR="009C728A">
        <w:rPr>
          <w:rFonts w:ascii="Times New Roman" w:hAnsi="Times New Roman"/>
        </w:rPr>
        <w:t xml:space="preserve">  This was not to be viewed as some isolated and “out of touch</w:t>
      </w:r>
      <w:r w:rsidR="001F090D">
        <w:rPr>
          <w:rFonts w:ascii="Times New Roman" w:hAnsi="Times New Roman"/>
        </w:rPr>
        <w:t xml:space="preserve">” </w:t>
      </w:r>
      <w:r w:rsidR="009C728A">
        <w:rPr>
          <w:rFonts w:ascii="Times New Roman" w:hAnsi="Times New Roman"/>
        </w:rPr>
        <w:t xml:space="preserve">corporate function.  </w:t>
      </w:r>
      <w:r w:rsidR="000A5D53">
        <w:rPr>
          <w:rFonts w:ascii="Times New Roman" w:hAnsi="Times New Roman"/>
        </w:rPr>
        <w:t xml:space="preserve">Our CEO insisted on this.  As a result, we </w:t>
      </w:r>
      <w:r w:rsidR="00002576">
        <w:rPr>
          <w:rFonts w:ascii="Times New Roman" w:hAnsi="Times New Roman"/>
        </w:rPr>
        <w:t xml:space="preserve">formed </w:t>
      </w:r>
      <w:r w:rsidR="000A5D53">
        <w:rPr>
          <w:rFonts w:ascii="Times New Roman" w:hAnsi="Times New Roman"/>
        </w:rPr>
        <w:t xml:space="preserve">an ERM Committee comprised of our CEO and executive officers reporting directly to him.  This is an ERM Committee of twelve executive officers.  The executive officers </w:t>
      </w:r>
      <w:r w:rsidR="001C7975">
        <w:rPr>
          <w:rFonts w:ascii="Times New Roman" w:hAnsi="Times New Roman"/>
        </w:rPr>
        <w:t xml:space="preserve">on this committee </w:t>
      </w:r>
      <w:r w:rsidR="000A5D53">
        <w:rPr>
          <w:rFonts w:ascii="Times New Roman" w:hAnsi="Times New Roman"/>
        </w:rPr>
        <w:t>represent the most senior l</w:t>
      </w:r>
      <w:r w:rsidR="001C7975">
        <w:rPr>
          <w:rFonts w:ascii="Times New Roman" w:hAnsi="Times New Roman"/>
        </w:rPr>
        <w:t xml:space="preserve">eaders of our business sectors and other executive officers such as our CFO, our VP of Human Resources, our VP of Strategy, Mergers &amp; Acquisitions, and the General Counsel.  </w:t>
      </w:r>
      <w:r w:rsidR="00F3084F">
        <w:rPr>
          <w:rFonts w:ascii="Times New Roman" w:hAnsi="Times New Roman"/>
        </w:rPr>
        <w:t>Our CEO is the Chairman of the ERM Committee and the General Counsel and our Chief Compliance Officer are designated as responsible for providing administrative assistance to the Committee.</w:t>
      </w:r>
      <w:r w:rsidR="00817DFD">
        <w:rPr>
          <w:rFonts w:ascii="Times New Roman" w:hAnsi="Times New Roman"/>
        </w:rPr>
        <w:t xml:space="preserve">  </w:t>
      </w:r>
    </w:p>
    <w:p w:rsidR="001C7975" w:rsidRDefault="001C7975" w:rsidP="002A67B9">
      <w:pPr>
        <w:pStyle w:val="NoSpacing"/>
        <w:jc w:val="both"/>
        <w:rPr>
          <w:rFonts w:ascii="Times New Roman" w:hAnsi="Times New Roman"/>
        </w:rPr>
      </w:pPr>
    </w:p>
    <w:p w:rsidR="001C7975" w:rsidRDefault="001C7975" w:rsidP="002A67B9">
      <w:pPr>
        <w:pStyle w:val="NoSpacing"/>
        <w:jc w:val="both"/>
        <w:rPr>
          <w:rFonts w:ascii="Times New Roman" w:hAnsi="Times New Roman"/>
        </w:rPr>
      </w:pPr>
      <w:r>
        <w:rPr>
          <w:rFonts w:ascii="Times New Roman" w:hAnsi="Times New Roman"/>
        </w:rPr>
        <w:t xml:space="preserve">The ERM Committee’s charter describes </w:t>
      </w:r>
      <w:r w:rsidR="001F4B38">
        <w:rPr>
          <w:rFonts w:ascii="Times New Roman" w:hAnsi="Times New Roman"/>
        </w:rPr>
        <w:t xml:space="preserve">the committee’s </w:t>
      </w:r>
      <w:r>
        <w:rPr>
          <w:rFonts w:ascii="Times New Roman" w:hAnsi="Times New Roman"/>
        </w:rPr>
        <w:t>responsibilities as management of the company’s “GRC” functions – Governance, Risk and Compliance.</w:t>
      </w:r>
    </w:p>
    <w:p w:rsidR="001C7975" w:rsidRDefault="001C7975" w:rsidP="002A67B9">
      <w:pPr>
        <w:pStyle w:val="NoSpacing"/>
        <w:jc w:val="both"/>
        <w:rPr>
          <w:rFonts w:ascii="Times New Roman" w:hAnsi="Times New Roman"/>
        </w:rPr>
      </w:pPr>
    </w:p>
    <w:p w:rsidR="001C7975" w:rsidRPr="00DD3280" w:rsidRDefault="00F3084F" w:rsidP="002A67B9">
      <w:pPr>
        <w:pStyle w:val="NoSpacing"/>
        <w:jc w:val="both"/>
        <w:rPr>
          <w:rFonts w:ascii="Times New Roman" w:hAnsi="Times New Roman"/>
        </w:rPr>
      </w:pPr>
      <w:r>
        <w:rPr>
          <w:rFonts w:ascii="Times New Roman" w:hAnsi="Times New Roman"/>
        </w:rPr>
        <w:t xml:space="preserve">As an approach to management of risk, we adopted the four categories of risk outlined in the COSO </w:t>
      </w:r>
      <w:r w:rsidR="008001CD">
        <w:rPr>
          <w:rFonts w:ascii="Times New Roman" w:hAnsi="Times New Roman"/>
        </w:rPr>
        <w:t xml:space="preserve">(Commission of Sponsoring Organizations of the Treadway Commission) </w:t>
      </w:r>
      <w:r>
        <w:rPr>
          <w:rFonts w:ascii="Times New Roman" w:hAnsi="Times New Roman"/>
        </w:rPr>
        <w:t xml:space="preserve">framework – strategic, operational, reporting and compliance risk.  We have assigned individual members of the ERM Committee as responsible leaders for these areas.  Our Vice President of Strategy, Mergers &amp; Acquisitions is responsible for strategic risks.  The General Counsel is responsible for compliance risks, the CFO for reporting risks, and our operations executive committee for operations risk.  </w:t>
      </w:r>
      <w:r w:rsidR="000D4B8B" w:rsidRPr="000D4B8B">
        <w:rPr>
          <w:rFonts w:ascii="Times New Roman" w:hAnsi="Times New Roman"/>
          <w:i/>
        </w:rPr>
        <w:t xml:space="preserve">Accountability is an important feature of the ERM framework – it ensures steady progress toward </w:t>
      </w:r>
      <w:r w:rsidR="001F4B38">
        <w:rPr>
          <w:rFonts w:ascii="Times New Roman" w:hAnsi="Times New Roman"/>
          <w:i/>
        </w:rPr>
        <w:t xml:space="preserve">achievement of </w:t>
      </w:r>
      <w:r w:rsidR="000D4B8B" w:rsidRPr="000D4B8B">
        <w:rPr>
          <w:rFonts w:ascii="Times New Roman" w:hAnsi="Times New Roman"/>
          <w:i/>
        </w:rPr>
        <w:t>the goals of the program.</w:t>
      </w:r>
      <w:r w:rsidR="00DD3280">
        <w:rPr>
          <w:rFonts w:ascii="Times New Roman" w:hAnsi="Times New Roman"/>
          <w:i/>
        </w:rPr>
        <w:t xml:space="preserve"> </w:t>
      </w:r>
    </w:p>
    <w:p w:rsidR="00822ACB" w:rsidRDefault="00822ACB" w:rsidP="002A67B9">
      <w:pPr>
        <w:pStyle w:val="NoSpacing"/>
        <w:jc w:val="both"/>
        <w:rPr>
          <w:rFonts w:ascii="Times New Roman" w:hAnsi="Times New Roman"/>
        </w:rPr>
      </w:pPr>
    </w:p>
    <w:p w:rsidR="00822ACB" w:rsidRDefault="001F4B38" w:rsidP="002A67B9">
      <w:pPr>
        <w:pStyle w:val="NoSpacing"/>
        <w:jc w:val="both"/>
        <w:rPr>
          <w:rFonts w:ascii="Times New Roman" w:hAnsi="Times New Roman"/>
        </w:rPr>
      </w:pPr>
      <w:r>
        <w:rPr>
          <w:rFonts w:ascii="Times New Roman" w:hAnsi="Times New Roman"/>
        </w:rPr>
        <w:t xml:space="preserve">We have developed a standard methodology for risk assessment in each of these four categories.  Strategic risk was the first category assessed.  The assessments </w:t>
      </w:r>
      <w:r w:rsidR="000111D0">
        <w:rPr>
          <w:rFonts w:ascii="Times New Roman" w:hAnsi="Times New Roman"/>
        </w:rPr>
        <w:t xml:space="preserve">involved corporate strategic risks and strategic risks for each business sector.  Executive management identified and rated the severity of these strategic risks and developed contingency plans to address each of the risks.  This activity was included as an integral part of our overall annual corporate strategic planning process which culminated in a two-day meeting </w:t>
      </w:r>
      <w:r w:rsidR="000111D0">
        <w:rPr>
          <w:rFonts w:ascii="Times New Roman" w:hAnsi="Times New Roman"/>
        </w:rPr>
        <w:lastRenderedPageBreak/>
        <w:t>of executive management with the CSC Board of Directors to review strategic plans.</w:t>
      </w:r>
    </w:p>
    <w:p w:rsidR="000111D0" w:rsidRDefault="000111D0" w:rsidP="002A67B9">
      <w:pPr>
        <w:pStyle w:val="NoSpacing"/>
        <w:jc w:val="both"/>
        <w:rPr>
          <w:rFonts w:ascii="Times New Roman" w:hAnsi="Times New Roman"/>
        </w:rPr>
      </w:pPr>
    </w:p>
    <w:p w:rsidR="000111D0" w:rsidRDefault="000111D0" w:rsidP="002A67B9">
      <w:pPr>
        <w:pStyle w:val="NoSpacing"/>
        <w:jc w:val="both"/>
        <w:rPr>
          <w:rFonts w:ascii="Times New Roman" w:hAnsi="Times New Roman"/>
        </w:rPr>
      </w:pPr>
      <w:r>
        <w:rPr>
          <w:rFonts w:ascii="Times New Roman" w:hAnsi="Times New Roman"/>
        </w:rPr>
        <w:t xml:space="preserve">The General Counsel and our Chief Compliance Officer are heavily involved in </w:t>
      </w:r>
      <w:r w:rsidR="00902DA3">
        <w:rPr>
          <w:rFonts w:ascii="Times New Roman" w:hAnsi="Times New Roman"/>
        </w:rPr>
        <w:t>the risk management activities for the operational and</w:t>
      </w:r>
      <w:r w:rsidR="00CF2302">
        <w:rPr>
          <w:rFonts w:ascii="Times New Roman" w:hAnsi="Times New Roman"/>
        </w:rPr>
        <w:t xml:space="preserve"> reporting risk areas as well.  </w:t>
      </w:r>
      <w:r w:rsidR="0014713D">
        <w:rPr>
          <w:rFonts w:ascii="Times New Roman" w:hAnsi="Times New Roman"/>
        </w:rPr>
        <w:t xml:space="preserve">Each group is required to establish a regular process and annual cycle for its risk assessments and mitigation plans.  </w:t>
      </w:r>
      <w:r w:rsidR="0034606B">
        <w:rPr>
          <w:rFonts w:ascii="Times New Roman" w:hAnsi="Times New Roman"/>
        </w:rPr>
        <w:t xml:space="preserve">The end result for each group is a prioritization of risks, mitigation plans for each risk, and determination of the investments and funding required for execution of mitigation plans.  The latter stage of the annual process is designed to coincide with the company’s annual budgeting activities.  </w:t>
      </w:r>
      <w:r w:rsidR="00CF2302">
        <w:rPr>
          <w:rFonts w:ascii="Times New Roman" w:hAnsi="Times New Roman"/>
        </w:rPr>
        <w:t>All of the activities and reports of these groups are reported to and discussed with the ERM Committee on a regular basis.  In turn, the General Counsel reports on these activities to the Board’s Audit Committee at each quarterly meeting and periodically (at least annually) to the full Board of Directors.</w:t>
      </w:r>
    </w:p>
    <w:p w:rsidR="0014713D" w:rsidRDefault="0014713D" w:rsidP="002A67B9">
      <w:pPr>
        <w:pStyle w:val="NoSpacing"/>
        <w:jc w:val="both"/>
        <w:rPr>
          <w:rFonts w:ascii="Times New Roman" w:hAnsi="Times New Roman"/>
        </w:rPr>
      </w:pPr>
    </w:p>
    <w:p w:rsidR="0014713D" w:rsidRDefault="00387F5D" w:rsidP="002A67B9">
      <w:pPr>
        <w:pStyle w:val="NoSpacing"/>
        <w:jc w:val="both"/>
        <w:rPr>
          <w:rFonts w:ascii="Times New Roman" w:hAnsi="Times New Roman"/>
        </w:rPr>
      </w:pPr>
      <w:r>
        <w:rPr>
          <w:rFonts w:ascii="Times New Roman" w:hAnsi="Times New Roman"/>
        </w:rPr>
        <w:t xml:space="preserve">This approach is only one of many available.  We have found it to be a very workable framework for CSC.  </w:t>
      </w:r>
      <w:r w:rsidRPr="00387F5D">
        <w:rPr>
          <w:rFonts w:ascii="Times New Roman" w:hAnsi="Times New Roman"/>
          <w:i/>
        </w:rPr>
        <w:t xml:space="preserve">Again, a key to success of an ERM program is that it be straightforward and practical and that the corporate and business sector executives see the program as delivering bottom line value to their business </w:t>
      </w:r>
      <w:r w:rsidR="00F07870">
        <w:rPr>
          <w:rFonts w:ascii="Times New Roman" w:hAnsi="Times New Roman"/>
          <w:i/>
        </w:rPr>
        <w:t xml:space="preserve">as a result of better </w:t>
      </w:r>
      <w:r w:rsidRPr="00387F5D">
        <w:rPr>
          <w:rFonts w:ascii="Times New Roman" w:hAnsi="Times New Roman"/>
          <w:i/>
        </w:rPr>
        <w:t>clarity of risks and improved business processes.</w:t>
      </w:r>
      <w:r>
        <w:rPr>
          <w:rFonts w:ascii="Times New Roman" w:hAnsi="Times New Roman"/>
        </w:rPr>
        <w:t xml:space="preserve">  </w:t>
      </w:r>
    </w:p>
    <w:p w:rsidR="002B1625" w:rsidRDefault="002B1625" w:rsidP="002A67B9">
      <w:pPr>
        <w:pStyle w:val="NoSpacing"/>
        <w:jc w:val="both"/>
        <w:rPr>
          <w:rFonts w:ascii="Times New Roman" w:hAnsi="Times New Roman"/>
        </w:rPr>
      </w:pPr>
    </w:p>
    <w:p w:rsidR="00817DFD" w:rsidRPr="00F07870" w:rsidRDefault="00817DFD" w:rsidP="002A67B9">
      <w:pPr>
        <w:pStyle w:val="NoSpacing"/>
        <w:jc w:val="both"/>
        <w:rPr>
          <w:rFonts w:ascii="Times New Roman" w:hAnsi="Times New Roman"/>
          <w:i/>
        </w:rPr>
      </w:pPr>
      <w:r w:rsidRPr="00F07870">
        <w:rPr>
          <w:rFonts w:ascii="Times New Roman" w:hAnsi="Times New Roman"/>
          <w:i/>
        </w:rPr>
        <w:t>Importantly, for the Board of Directors this framework and approach assures the directors that management is disciplined and systematic in how it addresses risks across the enterprise</w:t>
      </w:r>
      <w:r w:rsidR="00C66F11" w:rsidRPr="00F07870">
        <w:rPr>
          <w:rFonts w:ascii="Times New Roman" w:hAnsi="Times New Roman"/>
          <w:i/>
        </w:rPr>
        <w:t>.  The formal process affords the Board the visibility it needs to exercise the proper level of diligence in its oversight of risk.</w:t>
      </w:r>
    </w:p>
    <w:p w:rsidR="00C66F11" w:rsidRPr="00C66F11" w:rsidRDefault="00C66F11" w:rsidP="002A67B9">
      <w:pPr>
        <w:pStyle w:val="NoSpacing"/>
        <w:jc w:val="both"/>
        <w:rPr>
          <w:rFonts w:ascii="Times New Roman" w:hAnsi="Times New Roman"/>
        </w:rPr>
      </w:pPr>
    </w:p>
    <w:p w:rsidR="0038722C" w:rsidRDefault="00817DFD" w:rsidP="002A67B9">
      <w:pPr>
        <w:pStyle w:val="NoSpacing"/>
        <w:jc w:val="both"/>
        <w:rPr>
          <w:b/>
        </w:rPr>
      </w:pPr>
      <w:r>
        <w:rPr>
          <w:b/>
        </w:rPr>
        <w:t>A FRAMEWORK FOR GLOBAL COMPLIANCE</w:t>
      </w:r>
    </w:p>
    <w:p w:rsidR="00817DFD" w:rsidRDefault="00817DFD" w:rsidP="002A67B9">
      <w:pPr>
        <w:pStyle w:val="NoSpacing"/>
        <w:jc w:val="both"/>
        <w:rPr>
          <w:b/>
        </w:rPr>
      </w:pPr>
    </w:p>
    <w:p w:rsidR="00817DFD" w:rsidRDefault="00817DFD" w:rsidP="002A67B9">
      <w:pPr>
        <w:pStyle w:val="NoSpacing"/>
        <w:jc w:val="both"/>
        <w:rPr>
          <w:rFonts w:ascii="Times New Roman" w:hAnsi="Times New Roman"/>
        </w:rPr>
      </w:pPr>
      <w:r>
        <w:rPr>
          <w:rFonts w:ascii="Times New Roman" w:hAnsi="Times New Roman"/>
        </w:rPr>
        <w:t>As described above, CSC’</w:t>
      </w:r>
      <w:r w:rsidR="00C34EA2">
        <w:rPr>
          <w:rFonts w:ascii="Times New Roman" w:hAnsi="Times New Roman"/>
        </w:rPr>
        <w:t>s compliance activities are treated as one of four key areas of enterprise risk for purposes of our ERM program.</w:t>
      </w:r>
      <w:r w:rsidR="00F07870">
        <w:rPr>
          <w:rFonts w:ascii="Times New Roman" w:hAnsi="Times New Roman"/>
        </w:rPr>
        <w:t xml:space="preserve">  Of the four areas, however, it is the broadest and most active.</w:t>
      </w:r>
    </w:p>
    <w:p w:rsidR="00F07870" w:rsidRDefault="00F07870" w:rsidP="002A67B9">
      <w:pPr>
        <w:pStyle w:val="NoSpacing"/>
        <w:jc w:val="both"/>
        <w:rPr>
          <w:rFonts w:ascii="Times New Roman" w:hAnsi="Times New Roman"/>
        </w:rPr>
      </w:pPr>
    </w:p>
    <w:p w:rsidR="00D47711" w:rsidRDefault="00F07870" w:rsidP="002A67B9">
      <w:pPr>
        <w:pStyle w:val="NoSpacing"/>
        <w:jc w:val="both"/>
        <w:rPr>
          <w:rFonts w:ascii="Times New Roman" w:hAnsi="Times New Roman"/>
        </w:rPr>
      </w:pPr>
      <w:r>
        <w:rPr>
          <w:rFonts w:ascii="Times New Roman" w:hAnsi="Times New Roman"/>
        </w:rPr>
        <w:t>Historically, CSC’s compliance program had developed primarily in the company’s government contracting business sector.  In fact, due to the extensive and rigorous compliance requirements of federal contracting, the company had a mature public sector compliance program.</w:t>
      </w:r>
      <w:r w:rsidR="00705CFD">
        <w:rPr>
          <w:rFonts w:ascii="Times New Roman" w:hAnsi="Times New Roman"/>
        </w:rPr>
        <w:t xml:space="preserve">  As the company ventured into the commercial sector in the 1990’s the compliance efforts were primarily led by the Legal Department and key compliance requirements were addressed, but largely on an ad hoc basis.  </w:t>
      </w:r>
      <w:r w:rsidR="00002576">
        <w:rPr>
          <w:rFonts w:ascii="Times New Roman" w:hAnsi="Times New Roman"/>
        </w:rPr>
        <w:t>A</w:t>
      </w:r>
      <w:r w:rsidR="00705CFD">
        <w:rPr>
          <w:rFonts w:ascii="Times New Roman" w:hAnsi="Times New Roman"/>
        </w:rPr>
        <w:t xml:space="preserve">s the company grew globally it became increasingly difficult to </w:t>
      </w:r>
      <w:r w:rsidR="00002576">
        <w:rPr>
          <w:rFonts w:ascii="Times New Roman" w:hAnsi="Times New Roman"/>
        </w:rPr>
        <w:t xml:space="preserve">effectively </w:t>
      </w:r>
      <w:r w:rsidR="00D47711">
        <w:rPr>
          <w:rFonts w:ascii="Times New Roman" w:hAnsi="Times New Roman"/>
        </w:rPr>
        <w:t xml:space="preserve">manage the program and to assess whether there were compliance gaps that were not being filled.  </w:t>
      </w:r>
    </w:p>
    <w:p w:rsidR="00D47711" w:rsidRDefault="00D47711" w:rsidP="002A67B9">
      <w:pPr>
        <w:pStyle w:val="NoSpacing"/>
        <w:jc w:val="both"/>
        <w:rPr>
          <w:rFonts w:ascii="Times New Roman" w:hAnsi="Times New Roman"/>
        </w:rPr>
      </w:pPr>
    </w:p>
    <w:p w:rsidR="00111B22" w:rsidRDefault="00D47711" w:rsidP="002A67B9">
      <w:pPr>
        <w:pStyle w:val="NoSpacing"/>
        <w:jc w:val="both"/>
        <w:rPr>
          <w:rFonts w:ascii="Times New Roman" w:hAnsi="Times New Roman"/>
        </w:rPr>
      </w:pPr>
      <w:r>
        <w:rPr>
          <w:rFonts w:ascii="Times New Roman" w:hAnsi="Times New Roman"/>
        </w:rPr>
        <w:lastRenderedPageBreak/>
        <w:t xml:space="preserve">In 2008 </w:t>
      </w:r>
      <w:r w:rsidR="00002576">
        <w:rPr>
          <w:rFonts w:ascii="Times New Roman" w:hAnsi="Times New Roman"/>
        </w:rPr>
        <w:t xml:space="preserve">we </w:t>
      </w:r>
      <w:r w:rsidR="00111B22">
        <w:rPr>
          <w:rFonts w:ascii="Times New Roman" w:hAnsi="Times New Roman"/>
        </w:rPr>
        <w:t xml:space="preserve">concluded that a coordinated and formal program framework was needed which would </w:t>
      </w:r>
      <w:r w:rsidR="00124D5F">
        <w:rPr>
          <w:rFonts w:ascii="Times New Roman" w:hAnsi="Times New Roman"/>
        </w:rPr>
        <w:t xml:space="preserve">allow </w:t>
      </w:r>
      <w:r w:rsidR="00111B22">
        <w:rPr>
          <w:rFonts w:ascii="Times New Roman" w:hAnsi="Times New Roman"/>
        </w:rPr>
        <w:t xml:space="preserve">executive management to </w:t>
      </w:r>
      <w:r w:rsidR="00124D5F">
        <w:rPr>
          <w:rFonts w:ascii="Times New Roman" w:hAnsi="Times New Roman"/>
        </w:rPr>
        <w:t xml:space="preserve">better </w:t>
      </w:r>
      <w:r w:rsidR="00111B22">
        <w:rPr>
          <w:rFonts w:ascii="Times New Roman" w:hAnsi="Times New Roman"/>
        </w:rPr>
        <w:t>understand and effectively manage CSC’s compliance risks</w:t>
      </w:r>
      <w:r w:rsidR="00124D5F">
        <w:rPr>
          <w:rFonts w:ascii="Times New Roman" w:hAnsi="Times New Roman"/>
        </w:rPr>
        <w:t xml:space="preserve"> and allow </w:t>
      </w:r>
      <w:r w:rsidR="00111B22">
        <w:rPr>
          <w:rFonts w:ascii="Times New Roman" w:hAnsi="Times New Roman"/>
        </w:rPr>
        <w:t xml:space="preserve">the Board to </w:t>
      </w:r>
      <w:r w:rsidR="00124D5F">
        <w:rPr>
          <w:rFonts w:ascii="Times New Roman" w:hAnsi="Times New Roman"/>
        </w:rPr>
        <w:t xml:space="preserve">improve its oversight of compliance and </w:t>
      </w:r>
      <w:r w:rsidR="00111B22">
        <w:rPr>
          <w:rFonts w:ascii="Times New Roman" w:hAnsi="Times New Roman"/>
        </w:rPr>
        <w:t xml:space="preserve">periodically evaluate the overall </w:t>
      </w:r>
      <w:r w:rsidR="00124D5F">
        <w:rPr>
          <w:rFonts w:ascii="Times New Roman" w:hAnsi="Times New Roman"/>
        </w:rPr>
        <w:t>effectiveness of the compliance program.  The approach and the details of the framework were first reviewed with the Audit Committee and subsequently with the full Board of Directors who fully endorsed the approach.</w:t>
      </w:r>
    </w:p>
    <w:p w:rsidR="00111B22" w:rsidRDefault="00111B22" w:rsidP="002A67B9">
      <w:pPr>
        <w:pStyle w:val="NoSpacing"/>
        <w:jc w:val="both"/>
        <w:rPr>
          <w:rFonts w:ascii="Times New Roman" w:hAnsi="Times New Roman"/>
        </w:rPr>
      </w:pPr>
    </w:p>
    <w:p w:rsidR="00C160A4" w:rsidRDefault="00124D5F" w:rsidP="002A67B9">
      <w:pPr>
        <w:pStyle w:val="NoSpacing"/>
        <w:jc w:val="both"/>
        <w:rPr>
          <w:rFonts w:ascii="Times New Roman" w:hAnsi="Times New Roman"/>
        </w:rPr>
      </w:pPr>
      <w:r>
        <w:rPr>
          <w:rFonts w:ascii="Times New Roman" w:hAnsi="Times New Roman"/>
        </w:rPr>
        <w:t xml:space="preserve">A key part of the recommended approach was the hiring of a dedicated Chief Compliance Officer.  </w:t>
      </w:r>
      <w:r w:rsidR="00B6081A">
        <w:rPr>
          <w:rFonts w:ascii="Times New Roman" w:hAnsi="Times New Roman"/>
        </w:rPr>
        <w:t xml:space="preserve">As we initiated the program </w:t>
      </w:r>
      <w:r w:rsidR="00E3171D" w:rsidRPr="00124D5F">
        <w:rPr>
          <w:rFonts w:ascii="Times New Roman" w:hAnsi="Times New Roman"/>
        </w:rPr>
        <w:t>CSC appointed a full-time Chief Compliance Officer who reports to the General Counsel.</w:t>
      </w:r>
      <w:r w:rsidR="00E3171D">
        <w:rPr>
          <w:rFonts w:ascii="Times New Roman" w:hAnsi="Times New Roman"/>
          <w:i/>
        </w:rPr>
        <w:t xml:space="preserve">  </w:t>
      </w:r>
      <w:r w:rsidR="00E3171D">
        <w:rPr>
          <w:rFonts w:ascii="Times New Roman" w:hAnsi="Times New Roman"/>
        </w:rPr>
        <w:t>At first blush this could appear as though we ha</w:t>
      </w:r>
      <w:r w:rsidR="00AA14D2">
        <w:rPr>
          <w:rFonts w:ascii="Times New Roman" w:hAnsi="Times New Roman"/>
        </w:rPr>
        <w:t>d</w:t>
      </w:r>
      <w:r w:rsidR="00E3171D">
        <w:rPr>
          <w:rFonts w:ascii="Times New Roman" w:hAnsi="Times New Roman"/>
        </w:rPr>
        <w:t xml:space="preserve"> established a strong “centralized” or “corporate” compliance function.  Actually, we designed the compliance framework so that while it has ultimate governance </w:t>
      </w:r>
      <w:r w:rsidR="00AA14D2">
        <w:rPr>
          <w:rFonts w:ascii="Times New Roman" w:hAnsi="Times New Roman"/>
        </w:rPr>
        <w:t xml:space="preserve">and </w:t>
      </w:r>
      <w:r w:rsidR="00E3171D">
        <w:rPr>
          <w:rFonts w:ascii="Times New Roman" w:hAnsi="Times New Roman"/>
        </w:rPr>
        <w:t>reporting in through the corporate legal function</w:t>
      </w:r>
      <w:r w:rsidR="00AA14D2">
        <w:rPr>
          <w:rFonts w:ascii="Times New Roman" w:hAnsi="Times New Roman"/>
        </w:rPr>
        <w:t xml:space="preserve"> to the Board of Directors</w:t>
      </w:r>
      <w:r w:rsidR="00E3171D">
        <w:rPr>
          <w:rFonts w:ascii="Times New Roman" w:hAnsi="Times New Roman"/>
        </w:rPr>
        <w:t xml:space="preserve">, the intent is to keep the corporate staff small and instead to carry out the majority of compliance functions in the business units themselves.  </w:t>
      </w:r>
      <w:r w:rsidR="00E3171D" w:rsidRPr="00FB56B3">
        <w:rPr>
          <w:rFonts w:ascii="Times New Roman" w:hAnsi="Times New Roman"/>
          <w:i/>
        </w:rPr>
        <w:t>This design was purposeful for a very key reason – we want to ensure that the CSC businesses understand that they “own” compliance as much as “corporate” owns compliance.</w:t>
      </w:r>
      <w:r w:rsidR="00E3171D">
        <w:rPr>
          <w:rFonts w:ascii="Times New Roman" w:hAnsi="Times New Roman"/>
        </w:rPr>
        <w:t xml:space="preserve"> </w:t>
      </w:r>
      <w:r w:rsidR="00FB56B3">
        <w:rPr>
          <w:rFonts w:ascii="Times New Roman" w:hAnsi="Times New Roman"/>
        </w:rPr>
        <w:t xml:space="preserve"> </w:t>
      </w:r>
      <w:r w:rsidR="00AA14D2">
        <w:rPr>
          <w:rFonts w:ascii="Times New Roman" w:hAnsi="Times New Roman"/>
        </w:rPr>
        <w:t>A</w:t>
      </w:r>
      <w:r w:rsidR="00FB56B3">
        <w:rPr>
          <w:rFonts w:ascii="Times New Roman" w:hAnsi="Times New Roman"/>
        </w:rPr>
        <w:t xml:space="preserve"> compliance mindset and culture can only be created if the people involved in the day-to-day business of the company learn to think this way and apply this approach in the way they routinely do business.</w:t>
      </w:r>
      <w:r w:rsidR="00E3171D">
        <w:rPr>
          <w:rFonts w:ascii="Times New Roman" w:hAnsi="Times New Roman"/>
        </w:rPr>
        <w:t xml:space="preserve"> </w:t>
      </w:r>
      <w:r w:rsidR="00FB56B3">
        <w:rPr>
          <w:rFonts w:ascii="Times New Roman" w:hAnsi="Times New Roman"/>
        </w:rPr>
        <w:t xml:space="preserve"> Therefore, our Chief Compliance Officer must be highly collaborative and capable of persuading operations management to become actively engaged in the compliance processes.  </w:t>
      </w:r>
    </w:p>
    <w:p w:rsidR="00C160A4" w:rsidRDefault="00C160A4" w:rsidP="002A67B9">
      <w:pPr>
        <w:pStyle w:val="NoSpacing"/>
        <w:jc w:val="both"/>
        <w:rPr>
          <w:rFonts w:ascii="Times New Roman" w:hAnsi="Times New Roman"/>
        </w:rPr>
      </w:pPr>
    </w:p>
    <w:p w:rsidR="00B123FC" w:rsidRDefault="00C160A4" w:rsidP="002A67B9">
      <w:pPr>
        <w:pStyle w:val="NoSpacing"/>
        <w:jc w:val="both"/>
        <w:rPr>
          <w:rFonts w:ascii="Times New Roman" w:hAnsi="Times New Roman"/>
        </w:rPr>
      </w:pPr>
      <w:r>
        <w:rPr>
          <w:rFonts w:ascii="Times New Roman" w:hAnsi="Times New Roman"/>
        </w:rPr>
        <w:t xml:space="preserve">In designing the compliance program we and the Board specifically took into consideration the Federal Sentencing Guidelines requiring that the “governing authority” (i.e., the Board) be knowledgeable about the content and operation of the company’s compliance plan and that it exercise reasonable oversight with respect to the implementation and effectiveness of the plan.  As discussed below, </w:t>
      </w:r>
      <w:r w:rsidR="00262CB7">
        <w:rPr>
          <w:rFonts w:ascii="Times New Roman" w:hAnsi="Times New Roman"/>
        </w:rPr>
        <w:t xml:space="preserve">we have designed much of the process and reporting functions of our compliance plan to ensure we and the Board meet these requirements.  </w:t>
      </w:r>
    </w:p>
    <w:p w:rsidR="00B123FC" w:rsidRDefault="00B123FC" w:rsidP="002A67B9">
      <w:pPr>
        <w:pStyle w:val="NoSpacing"/>
        <w:jc w:val="both"/>
        <w:rPr>
          <w:rFonts w:ascii="Times New Roman" w:hAnsi="Times New Roman"/>
        </w:rPr>
      </w:pPr>
    </w:p>
    <w:p w:rsidR="0053373F" w:rsidRPr="00C160A4" w:rsidRDefault="00262CB7" w:rsidP="002A67B9">
      <w:pPr>
        <w:pStyle w:val="NoSpacing"/>
        <w:jc w:val="both"/>
        <w:rPr>
          <w:rFonts w:ascii="Times New Roman" w:hAnsi="Times New Roman"/>
          <w:i/>
        </w:rPr>
      </w:pPr>
      <w:r>
        <w:rPr>
          <w:rFonts w:ascii="Times New Roman" w:hAnsi="Times New Roman"/>
        </w:rPr>
        <w:t xml:space="preserve">In addition, the Federal Sentencing Guidelines require that operational responsibilities for the program be delegated to specific individuals who shall be given adequate resources, appropriate authority and direct access to the Board.  </w:t>
      </w:r>
      <w:r w:rsidR="00B123FC">
        <w:rPr>
          <w:rFonts w:ascii="Times New Roman" w:hAnsi="Times New Roman"/>
          <w:i/>
        </w:rPr>
        <w:t>Accordingly, o</w:t>
      </w:r>
      <w:r w:rsidR="00B6081A" w:rsidRPr="00C160A4">
        <w:rPr>
          <w:rFonts w:ascii="Times New Roman" w:hAnsi="Times New Roman"/>
          <w:i/>
        </w:rPr>
        <w:t>ur Chief Compliance Officer has “dotted-line” reporting directly to the Audit Committee and it is clearly understood that the Chief Compliance Officer may at any time engage in direct discussions with the Audit Committee Chairman or the Committee</w:t>
      </w:r>
      <w:r w:rsidR="00C160A4" w:rsidRPr="00C160A4">
        <w:rPr>
          <w:rFonts w:ascii="Times New Roman" w:hAnsi="Times New Roman"/>
          <w:i/>
        </w:rPr>
        <w:t>.</w:t>
      </w:r>
    </w:p>
    <w:p w:rsidR="00B6081A" w:rsidRPr="00C160A4" w:rsidRDefault="00B6081A" w:rsidP="002A67B9">
      <w:pPr>
        <w:pStyle w:val="NoSpacing"/>
        <w:jc w:val="both"/>
        <w:rPr>
          <w:rFonts w:ascii="Times New Roman" w:hAnsi="Times New Roman"/>
          <w:i/>
        </w:rPr>
      </w:pPr>
    </w:p>
    <w:p w:rsidR="00F07870" w:rsidRPr="0053373F" w:rsidRDefault="00FB56B3" w:rsidP="002A67B9">
      <w:pPr>
        <w:pStyle w:val="NoSpacing"/>
        <w:jc w:val="both"/>
        <w:rPr>
          <w:rFonts w:ascii="Times New Roman" w:hAnsi="Times New Roman"/>
          <w:i/>
        </w:rPr>
      </w:pPr>
      <w:r w:rsidRPr="0053373F">
        <w:rPr>
          <w:rFonts w:ascii="Times New Roman" w:hAnsi="Times New Roman"/>
          <w:i/>
        </w:rPr>
        <w:t xml:space="preserve">As with ERM, we have approached compliance from the point of view that compliance is important </w:t>
      </w:r>
      <w:r w:rsidR="00F73641">
        <w:rPr>
          <w:rFonts w:ascii="Times New Roman" w:hAnsi="Times New Roman"/>
          <w:i/>
        </w:rPr>
        <w:t xml:space="preserve">not only </w:t>
      </w:r>
      <w:r w:rsidRPr="0053373F">
        <w:rPr>
          <w:rFonts w:ascii="Times New Roman" w:hAnsi="Times New Roman"/>
          <w:i/>
        </w:rPr>
        <w:t xml:space="preserve">because it is “required,” but also </w:t>
      </w:r>
      <w:r w:rsidR="00F73641">
        <w:rPr>
          <w:rFonts w:ascii="Times New Roman" w:hAnsi="Times New Roman"/>
          <w:i/>
        </w:rPr>
        <w:t xml:space="preserve">because </w:t>
      </w:r>
      <w:r w:rsidR="0053373F" w:rsidRPr="0053373F">
        <w:rPr>
          <w:rFonts w:ascii="Times New Roman" w:hAnsi="Times New Roman"/>
          <w:i/>
        </w:rPr>
        <w:t xml:space="preserve">it adds bottom line business value </w:t>
      </w:r>
      <w:r w:rsidR="00F73641">
        <w:rPr>
          <w:rFonts w:ascii="Times New Roman" w:hAnsi="Times New Roman"/>
          <w:i/>
        </w:rPr>
        <w:t>as a result of clearly un</w:t>
      </w:r>
      <w:r w:rsidR="0053373F" w:rsidRPr="0053373F">
        <w:rPr>
          <w:rFonts w:ascii="Times New Roman" w:hAnsi="Times New Roman"/>
          <w:i/>
        </w:rPr>
        <w:t xml:space="preserve">derstood and more </w:t>
      </w:r>
      <w:r w:rsidR="0053373F" w:rsidRPr="0053373F">
        <w:rPr>
          <w:rFonts w:ascii="Times New Roman" w:hAnsi="Times New Roman"/>
          <w:i/>
        </w:rPr>
        <w:lastRenderedPageBreak/>
        <w:t xml:space="preserve">efficient business processes (not to mention, of course, the value of avoidance of </w:t>
      </w:r>
      <w:r w:rsidR="00F73641">
        <w:rPr>
          <w:rFonts w:ascii="Times New Roman" w:hAnsi="Times New Roman"/>
          <w:i/>
        </w:rPr>
        <w:t xml:space="preserve">many types of “damages” such as </w:t>
      </w:r>
      <w:r w:rsidR="0053373F" w:rsidRPr="0053373F">
        <w:rPr>
          <w:rFonts w:ascii="Times New Roman" w:hAnsi="Times New Roman"/>
          <w:i/>
        </w:rPr>
        <w:t>regulatory fines and damage to reputation).</w:t>
      </w:r>
    </w:p>
    <w:p w:rsidR="00B83CED" w:rsidRDefault="00B83CED" w:rsidP="002A67B9">
      <w:pPr>
        <w:pStyle w:val="NoSpacing"/>
        <w:jc w:val="both"/>
        <w:rPr>
          <w:rFonts w:ascii="Times New Roman" w:hAnsi="Times New Roman"/>
        </w:rPr>
      </w:pPr>
    </w:p>
    <w:p w:rsidR="00513CFC" w:rsidRDefault="00C2154F" w:rsidP="002A67B9">
      <w:pPr>
        <w:pStyle w:val="NoSpacing"/>
        <w:jc w:val="both"/>
        <w:rPr>
          <w:rFonts w:ascii="Times New Roman" w:hAnsi="Times New Roman"/>
        </w:rPr>
      </w:pPr>
      <w:r>
        <w:rPr>
          <w:rFonts w:ascii="Times New Roman" w:hAnsi="Times New Roman"/>
        </w:rPr>
        <w:t xml:space="preserve">To address the specific substantive compliance areas applicable to CSC we </w:t>
      </w:r>
      <w:r w:rsidR="00B123FC">
        <w:rPr>
          <w:rFonts w:ascii="Times New Roman" w:hAnsi="Times New Roman"/>
        </w:rPr>
        <w:t>have categorized our global compliance obligations into 13 subject matter areas</w:t>
      </w:r>
      <w:r w:rsidR="007B16C6">
        <w:rPr>
          <w:rFonts w:ascii="Times New Roman" w:hAnsi="Times New Roman"/>
        </w:rPr>
        <w:t>, as follows</w:t>
      </w:r>
      <w:r w:rsidR="00B123FC">
        <w:rPr>
          <w:rFonts w:ascii="Times New Roman" w:hAnsi="Times New Roman"/>
        </w:rPr>
        <w:t>: International Trade; Global Anti-Corruption; Global Data Privacy and Data Protection; Public Sector Contracting; Government Affairs; Global Intellectual Property</w:t>
      </w:r>
      <w:r w:rsidR="00AA53E1">
        <w:rPr>
          <w:rFonts w:ascii="Times New Roman" w:hAnsi="Times New Roman"/>
        </w:rPr>
        <w:t>;</w:t>
      </w:r>
      <w:r w:rsidR="00B123FC">
        <w:rPr>
          <w:rFonts w:ascii="Times New Roman" w:hAnsi="Times New Roman"/>
        </w:rPr>
        <w:t xml:space="preserve"> Global Environmental, Health &amp; Safety</w:t>
      </w:r>
      <w:r w:rsidR="00AA53E1">
        <w:rPr>
          <w:rFonts w:ascii="Times New Roman" w:hAnsi="Times New Roman"/>
        </w:rPr>
        <w:t>;</w:t>
      </w:r>
      <w:r w:rsidR="00B123FC">
        <w:rPr>
          <w:rFonts w:ascii="Times New Roman" w:hAnsi="Times New Roman"/>
        </w:rPr>
        <w:t xml:space="preserve"> Global Labor</w:t>
      </w:r>
      <w:r w:rsidR="00AA53E1">
        <w:rPr>
          <w:rFonts w:ascii="Times New Roman" w:hAnsi="Times New Roman"/>
        </w:rPr>
        <w:t>, Employment &amp; Immigration; NYSE and Corporate Governance; SOX and other SEC compliance; Global Tax; Global Antitrust; and Global Records and Information Management.  We have ensured that we have subject matter experts who are responsible for each area and they, in turn, form working groups to ensure that they have identified key compliance issues on a global and enterprise-wide basis for the company.</w:t>
      </w:r>
    </w:p>
    <w:p w:rsidR="00AA53E1" w:rsidRDefault="00AA53E1" w:rsidP="002A67B9">
      <w:pPr>
        <w:pStyle w:val="NoSpacing"/>
        <w:jc w:val="both"/>
        <w:rPr>
          <w:rFonts w:ascii="Times New Roman" w:hAnsi="Times New Roman"/>
        </w:rPr>
      </w:pPr>
    </w:p>
    <w:p w:rsidR="00AA53E1" w:rsidRDefault="007B16C6" w:rsidP="002A67B9">
      <w:pPr>
        <w:pStyle w:val="NoSpacing"/>
        <w:jc w:val="both"/>
        <w:rPr>
          <w:rFonts w:ascii="Times New Roman" w:hAnsi="Times New Roman"/>
        </w:rPr>
      </w:pPr>
      <w:r>
        <w:rPr>
          <w:rFonts w:ascii="Times New Roman" w:hAnsi="Times New Roman"/>
        </w:rPr>
        <w:t xml:space="preserve">We have established a Global Compliance Council which includes representatives from all key corporate support organizations and from all material business units.  We ensured that the council membership was diverse </w:t>
      </w:r>
      <w:r w:rsidR="00C56E12">
        <w:rPr>
          <w:rFonts w:ascii="Times New Roman" w:hAnsi="Times New Roman"/>
        </w:rPr>
        <w:t>and included a good cross-section of individuals from around the world and who would be serving in support or operational roles where they could be influential in establishing the compliance functions we have planned.  This council will serve as our communications path, both incoming and outgoing, with the rest of the CSC organization as we move forward with the compliance program.</w:t>
      </w:r>
    </w:p>
    <w:p w:rsidR="00C56E12" w:rsidRDefault="00C56E12" w:rsidP="002A67B9">
      <w:pPr>
        <w:pStyle w:val="NoSpacing"/>
        <w:jc w:val="both"/>
        <w:rPr>
          <w:rFonts w:ascii="Times New Roman" w:hAnsi="Times New Roman"/>
        </w:rPr>
      </w:pPr>
    </w:p>
    <w:p w:rsidR="00FD1D87" w:rsidRDefault="000F2913" w:rsidP="002A67B9">
      <w:pPr>
        <w:pStyle w:val="NoSpacing"/>
        <w:jc w:val="both"/>
        <w:rPr>
          <w:rFonts w:ascii="Times New Roman" w:hAnsi="Times New Roman"/>
        </w:rPr>
      </w:pPr>
      <w:r>
        <w:rPr>
          <w:rFonts w:ascii="Times New Roman" w:hAnsi="Times New Roman"/>
        </w:rPr>
        <w:t xml:space="preserve">We have initiated many actions to launch the compliance program, including a maturity and capability assessment to assist us in </w:t>
      </w:r>
      <w:r w:rsidR="003A07DC">
        <w:rPr>
          <w:rFonts w:ascii="Times New Roman" w:hAnsi="Times New Roman"/>
        </w:rPr>
        <w:t xml:space="preserve">benchmarking our program by </w:t>
      </w:r>
      <w:r>
        <w:rPr>
          <w:rFonts w:ascii="Times New Roman" w:hAnsi="Times New Roman"/>
        </w:rPr>
        <w:t xml:space="preserve">evaluating exactly where our strengths and weaknesses lie.  </w:t>
      </w:r>
      <w:r w:rsidR="00FD1D87">
        <w:rPr>
          <w:rFonts w:ascii="Times New Roman" w:hAnsi="Times New Roman"/>
        </w:rPr>
        <w:t xml:space="preserve">The program is designed </w:t>
      </w:r>
      <w:r w:rsidR="003A07DC">
        <w:rPr>
          <w:rFonts w:ascii="Times New Roman" w:hAnsi="Times New Roman"/>
        </w:rPr>
        <w:t xml:space="preserve">to operate </w:t>
      </w:r>
      <w:r w:rsidR="00FD1D87">
        <w:rPr>
          <w:rFonts w:ascii="Times New Roman" w:hAnsi="Times New Roman"/>
        </w:rPr>
        <w:t xml:space="preserve">on an “annual cycle” basis so that the culmination of activities every year coincides with our budgeting process leading into the next fiscal year.  Each year the Global Compliance Council will develop the </w:t>
      </w:r>
      <w:r w:rsidR="00FD1D87" w:rsidRPr="000A3D57">
        <w:rPr>
          <w:rFonts w:ascii="Times New Roman" w:hAnsi="Times New Roman"/>
          <w:i/>
        </w:rPr>
        <w:t>Annual Compliance Plan</w:t>
      </w:r>
      <w:r w:rsidR="000A3D57">
        <w:rPr>
          <w:rFonts w:ascii="Times New Roman" w:hAnsi="Times New Roman"/>
        </w:rPr>
        <w:t xml:space="preserve"> and that plan will address the following matters.  First, it will include an </w:t>
      </w:r>
      <w:r w:rsidR="000A3D57">
        <w:rPr>
          <w:rFonts w:ascii="Times New Roman" w:hAnsi="Times New Roman"/>
          <w:i/>
        </w:rPr>
        <w:t>O</w:t>
      </w:r>
      <w:r w:rsidR="000A3D57" w:rsidRPr="000A3D57">
        <w:rPr>
          <w:rFonts w:ascii="Times New Roman" w:hAnsi="Times New Roman"/>
          <w:i/>
        </w:rPr>
        <w:t>verview of the compliance program</w:t>
      </w:r>
      <w:r w:rsidR="000A3D57">
        <w:rPr>
          <w:rFonts w:ascii="Times New Roman" w:hAnsi="Times New Roman"/>
        </w:rPr>
        <w:t xml:space="preserve">, describing the organizational and governance structures and the reasons for those structures as well as the overall compliance processes related to development and implementation of the current Annual Compliance Plan.  Second, it will include an </w:t>
      </w:r>
      <w:r w:rsidR="000A3D57">
        <w:rPr>
          <w:rFonts w:ascii="Times New Roman" w:hAnsi="Times New Roman"/>
          <w:i/>
        </w:rPr>
        <w:t xml:space="preserve">Annual Risk Assessment and Mitigation Plan </w:t>
      </w:r>
      <w:r w:rsidR="000A3D57">
        <w:rPr>
          <w:rFonts w:ascii="Times New Roman" w:hAnsi="Times New Roman"/>
        </w:rPr>
        <w:t xml:space="preserve">which will include a report of the results from the annual risk assessment activities and a prioritization and mitigation plan for each area of compliance risk.  Third, </w:t>
      </w:r>
      <w:r w:rsidR="000A3D57">
        <w:rPr>
          <w:rFonts w:ascii="Times New Roman" w:hAnsi="Times New Roman"/>
          <w:i/>
        </w:rPr>
        <w:t xml:space="preserve">Annual Action Plans </w:t>
      </w:r>
      <w:r w:rsidR="000A3D57">
        <w:rPr>
          <w:rFonts w:ascii="Times New Roman" w:hAnsi="Times New Roman"/>
        </w:rPr>
        <w:t xml:space="preserve">will be included.  These are specific plans for each corporate and business unit indicating risks that will be addressed in the coming fiscal year, how they will be addressed and related resource and budget requirements.  Next, </w:t>
      </w:r>
      <w:r w:rsidR="000D3C47">
        <w:rPr>
          <w:rFonts w:ascii="Times New Roman" w:hAnsi="Times New Roman"/>
        </w:rPr>
        <w:t xml:space="preserve">there will be an </w:t>
      </w:r>
      <w:r w:rsidR="000D3C47">
        <w:rPr>
          <w:rFonts w:ascii="Times New Roman" w:hAnsi="Times New Roman"/>
          <w:i/>
        </w:rPr>
        <w:t xml:space="preserve">Annual Communication and Training Plan </w:t>
      </w:r>
      <w:r w:rsidR="000D3C47">
        <w:rPr>
          <w:rFonts w:ascii="Times New Roman" w:hAnsi="Times New Roman"/>
        </w:rPr>
        <w:t xml:space="preserve">which addresses communication and training priorities for the fiscal year and the related resource and budget requirements.  Next, an </w:t>
      </w:r>
      <w:r w:rsidR="000D3C47">
        <w:rPr>
          <w:rFonts w:ascii="Times New Roman" w:hAnsi="Times New Roman"/>
          <w:i/>
        </w:rPr>
        <w:t xml:space="preserve">Annual Monitoring and Audit Plan </w:t>
      </w:r>
      <w:r w:rsidR="000D3C47">
        <w:rPr>
          <w:rFonts w:ascii="Times New Roman" w:hAnsi="Times New Roman"/>
        </w:rPr>
        <w:t xml:space="preserve">will be included </w:t>
      </w:r>
      <w:r w:rsidR="000D3C47">
        <w:rPr>
          <w:rFonts w:ascii="Times New Roman" w:hAnsi="Times New Roman"/>
        </w:rPr>
        <w:lastRenderedPageBreak/>
        <w:t xml:space="preserve">which addresses how key risks will be monitored during the fiscal year and a specific compliance audit plan for CSC’s Internal Audit organization.  Finally, there will be </w:t>
      </w:r>
      <w:r w:rsidR="000D3C47">
        <w:rPr>
          <w:rFonts w:ascii="Times New Roman" w:hAnsi="Times New Roman"/>
          <w:i/>
        </w:rPr>
        <w:t xml:space="preserve">Annual Effectiveness Evaluation </w:t>
      </w:r>
      <w:r w:rsidR="000D3C47">
        <w:rPr>
          <w:rFonts w:ascii="Times New Roman" w:hAnsi="Times New Roman"/>
        </w:rPr>
        <w:t>which represents the Global Compliance Council’s and executive management’s evaluation of the effectiveness of the overall compliance program.  It is th</w:t>
      </w:r>
      <w:r w:rsidR="003A07DC">
        <w:rPr>
          <w:rFonts w:ascii="Times New Roman" w:hAnsi="Times New Roman"/>
        </w:rPr>
        <w:t>is</w:t>
      </w:r>
      <w:r w:rsidR="000D3C47">
        <w:rPr>
          <w:rFonts w:ascii="Times New Roman" w:hAnsi="Times New Roman"/>
        </w:rPr>
        <w:t xml:space="preserve"> section of the Annual Compliance Plan that the Audit Committee and the Board will refer to as it conducts its evaluation of the effectiveness of the compliance program.</w:t>
      </w:r>
    </w:p>
    <w:p w:rsidR="006C117C" w:rsidRDefault="006C117C" w:rsidP="002A67B9">
      <w:pPr>
        <w:pStyle w:val="NoSpacing"/>
        <w:jc w:val="both"/>
        <w:rPr>
          <w:rFonts w:ascii="Times New Roman" w:hAnsi="Times New Roman"/>
        </w:rPr>
      </w:pPr>
    </w:p>
    <w:p w:rsidR="006C117C" w:rsidRDefault="006C117C" w:rsidP="002A67B9">
      <w:pPr>
        <w:pStyle w:val="NoSpacing"/>
        <w:jc w:val="both"/>
        <w:rPr>
          <w:rFonts w:ascii="Times New Roman" w:hAnsi="Times New Roman"/>
        </w:rPr>
      </w:pPr>
      <w:r>
        <w:rPr>
          <w:rFonts w:ascii="Times New Roman" w:hAnsi="Times New Roman"/>
        </w:rPr>
        <w:t>In summary, the Annual Compliance Plan in effect documents the most important activities occurring during the year under the compliance program.  During the course of the year, the General Counsel, and periodically the Chief Compliance Officer, give</w:t>
      </w:r>
      <w:r w:rsidR="00F71F58">
        <w:rPr>
          <w:rFonts w:ascii="Times New Roman" w:hAnsi="Times New Roman"/>
        </w:rPr>
        <w:t>s</w:t>
      </w:r>
      <w:r>
        <w:rPr>
          <w:rFonts w:ascii="Times New Roman" w:hAnsi="Times New Roman"/>
        </w:rPr>
        <w:t xml:space="preserve"> regular reports of activities to the Board’s Audit Committee and annually to the full Board of Directors.</w:t>
      </w:r>
    </w:p>
    <w:p w:rsidR="000D3C47" w:rsidRDefault="000D3C47" w:rsidP="002A67B9">
      <w:pPr>
        <w:pStyle w:val="NoSpacing"/>
        <w:jc w:val="both"/>
        <w:rPr>
          <w:rFonts w:ascii="Times New Roman" w:hAnsi="Times New Roman"/>
        </w:rPr>
      </w:pPr>
    </w:p>
    <w:p w:rsidR="00C56E12" w:rsidRDefault="00F71F58" w:rsidP="002A67B9">
      <w:pPr>
        <w:pStyle w:val="NoSpacing"/>
        <w:jc w:val="both"/>
        <w:rPr>
          <w:rFonts w:ascii="Times New Roman" w:hAnsi="Times New Roman"/>
        </w:rPr>
      </w:pPr>
      <w:r>
        <w:rPr>
          <w:rFonts w:ascii="Times New Roman" w:hAnsi="Times New Roman"/>
        </w:rPr>
        <w:t xml:space="preserve">These activities require a substantial amount of work.  But again the intention is to ensure that this is not simply “busy work” but rather that it is valuable work that ensures we are </w:t>
      </w:r>
      <w:r w:rsidR="00023C4D">
        <w:rPr>
          <w:rFonts w:ascii="Times New Roman" w:hAnsi="Times New Roman"/>
        </w:rPr>
        <w:t>identifying tangible areas for improvement and in the end that CSC does in fact have an effective compliance program.  Our Board of Directors requires this kind of program and now is in a position to have a more detailed understanding of how management views and deals with compliance risk across the enterprise.</w:t>
      </w:r>
    </w:p>
    <w:p w:rsidR="00513CFC" w:rsidRDefault="00513CFC" w:rsidP="002A67B9">
      <w:pPr>
        <w:pStyle w:val="NoSpacing"/>
        <w:jc w:val="both"/>
        <w:rPr>
          <w:rFonts w:ascii="Times New Roman" w:hAnsi="Times New Roman"/>
        </w:rPr>
      </w:pPr>
    </w:p>
    <w:p w:rsidR="00513CFC" w:rsidRDefault="00881E58" w:rsidP="002A67B9">
      <w:pPr>
        <w:pStyle w:val="NoSpacing"/>
        <w:jc w:val="both"/>
        <w:rPr>
          <w:b/>
        </w:rPr>
      </w:pPr>
      <w:r>
        <w:rPr>
          <w:b/>
        </w:rPr>
        <w:t>CORPORATE GOVERNANCE, THE GENERAL COUNSEL AND THE BOARD</w:t>
      </w:r>
    </w:p>
    <w:p w:rsidR="00881E58" w:rsidRDefault="00881E58" w:rsidP="002A67B9">
      <w:pPr>
        <w:pStyle w:val="NoSpacing"/>
        <w:jc w:val="both"/>
        <w:rPr>
          <w:b/>
        </w:rPr>
      </w:pPr>
    </w:p>
    <w:p w:rsidR="00881E58" w:rsidRPr="00675B02" w:rsidRDefault="00675B02" w:rsidP="002A67B9">
      <w:pPr>
        <w:pStyle w:val="NoSpacing"/>
        <w:jc w:val="both"/>
        <w:rPr>
          <w:rFonts w:ascii="Times New Roman" w:hAnsi="Times New Roman"/>
        </w:rPr>
      </w:pPr>
      <w:r>
        <w:rPr>
          <w:rFonts w:ascii="Times New Roman" w:hAnsi="Times New Roman"/>
        </w:rPr>
        <w:t xml:space="preserve">Corporate governance </w:t>
      </w:r>
      <w:r w:rsidR="00564A23">
        <w:rPr>
          <w:rFonts w:ascii="Times New Roman" w:hAnsi="Times New Roman"/>
        </w:rPr>
        <w:t xml:space="preserve">in general </w:t>
      </w:r>
      <w:r>
        <w:rPr>
          <w:rFonts w:ascii="Times New Roman" w:hAnsi="Times New Roman"/>
        </w:rPr>
        <w:t xml:space="preserve">has, of course, been evolving </w:t>
      </w:r>
      <w:r w:rsidR="00564A23">
        <w:rPr>
          <w:rFonts w:ascii="Times New Roman" w:hAnsi="Times New Roman"/>
        </w:rPr>
        <w:t xml:space="preserve">rapidly </w:t>
      </w:r>
      <w:r>
        <w:rPr>
          <w:rFonts w:ascii="Times New Roman" w:hAnsi="Times New Roman"/>
        </w:rPr>
        <w:t xml:space="preserve">for most of this decade and general counsels in recent years have been spending an increasing percentage of their time advising their boards on these changes.  As mentioned in the Introduction, many more changes are just being implemented or are on the horizon and will certainly have a great impact on how general counsels and boards are spending their time in the coming year.  In particular with respect to risk oversight, the SEC’s new proxy disclosures rules which will go into effect shortly </w:t>
      </w:r>
      <w:r w:rsidR="00B62FC6">
        <w:rPr>
          <w:rFonts w:ascii="Times New Roman" w:hAnsi="Times New Roman"/>
        </w:rPr>
        <w:t xml:space="preserve">will require specific risk-related disclosure in two respects.  </w:t>
      </w:r>
    </w:p>
    <w:p w:rsidR="00513CFC" w:rsidRDefault="00513CFC" w:rsidP="002A67B9">
      <w:pPr>
        <w:pStyle w:val="NoSpacing"/>
        <w:jc w:val="both"/>
        <w:rPr>
          <w:rFonts w:ascii="Times New Roman" w:hAnsi="Times New Roman"/>
        </w:rPr>
      </w:pPr>
    </w:p>
    <w:p w:rsidR="00B62FC6" w:rsidRDefault="00B62FC6" w:rsidP="002A67B9">
      <w:pPr>
        <w:pStyle w:val="NoSpacing"/>
        <w:jc w:val="both"/>
        <w:rPr>
          <w:rFonts w:ascii="Times New Roman" w:hAnsi="Times New Roman"/>
        </w:rPr>
      </w:pPr>
      <w:r>
        <w:rPr>
          <w:rFonts w:ascii="Times New Roman" w:hAnsi="Times New Roman"/>
        </w:rPr>
        <w:t xml:space="preserve">First, the rules require disclosure about the board’s role in risk oversight, including how the board performs its risk oversight responsibilities.  If the general counsel and the board have implemented an ERM framework as discussed above, much of the work will have been done here and it will be a matter of preparing the proper disclosure.  However, as it will be the first time the company has disclosed the way the board actually functions as it performs this important role, the </w:t>
      </w:r>
      <w:r w:rsidR="00286126">
        <w:rPr>
          <w:rFonts w:ascii="Times New Roman" w:hAnsi="Times New Roman"/>
        </w:rPr>
        <w:t xml:space="preserve">general counsel and the </w:t>
      </w:r>
      <w:r>
        <w:rPr>
          <w:rFonts w:ascii="Times New Roman" w:hAnsi="Times New Roman"/>
        </w:rPr>
        <w:t xml:space="preserve">directors should be </w:t>
      </w:r>
      <w:r w:rsidR="00286126">
        <w:rPr>
          <w:rFonts w:ascii="Times New Roman" w:hAnsi="Times New Roman"/>
        </w:rPr>
        <w:t xml:space="preserve">collaborating on </w:t>
      </w:r>
      <w:r>
        <w:rPr>
          <w:rFonts w:ascii="Times New Roman" w:hAnsi="Times New Roman"/>
        </w:rPr>
        <w:t>the dis</w:t>
      </w:r>
      <w:r w:rsidR="00286126">
        <w:rPr>
          <w:rFonts w:ascii="Times New Roman" w:hAnsi="Times New Roman"/>
        </w:rPr>
        <w:t xml:space="preserve">closure and the message the board wants to send to the public in terms of its risk oversight.  This discussion will probably highlight the importance of </w:t>
      </w:r>
      <w:r w:rsidR="00C65C02">
        <w:rPr>
          <w:rFonts w:ascii="Times New Roman" w:hAnsi="Times New Roman"/>
        </w:rPr>
        <w:t xml:space="preserve">the respective risk oversight roles of each of the board committees and the full board.  For example, each of the Audit Committee, the Compensation Committee and the Nominating and </w:t>
      </w:r>
      <w:r w:rsidR="00C65C02">
        <w:rPr>
          <w:rFonts w:ascii="Times New Roman" w:hAnsi="Times New Roman"/>
        </w:rPr>
        <w:lastRenderedPageBreak/>
        <w:t>Corporate Governance Committee view risk from different perspectives given the scope of their responsibilities.  While the Audit Committee often will take a leading role in risk oversight, it will be important for general counsels to spend more time with the Compensation Committee (see below) and the Nominating and Corporate Governance Committee to ensure that these committees have defined their approach to risk oversight.  The general counsel then will need to synthesize and integrate these activities into a framework for the full board to review, discuss and approve.</w:t>
      </w:r>
    </w:p>
    <w:p w:rsidR="00C65C02" w:rsidRDefault="00C65C02" w:rsidP="002A67B9">
      <w:pPr>
        <w:pStyle w:val="NoSpacing"/>
        <w:jc w:val="both"/>
        <w:rPr>
          <w:rFonts w:ascii="Times New Roman" w:hAnsi="Times New Roman"/>
        </w:rPr>
      </w:pPr>
    </w:p>
    <w:p w:rsidR="00C65C02" w:rsidRDefault="00C65C02" w:rsidP="002A67B9">
      <w:pPr>
        <w:pStyle w:val="NoSpacing"/>
        <w:jc w:val="both"/>
        <w:rPr>
          <w:rFonts w:ascii="Times New Roman" w:hAnsi="Times New Roman"/>
        </w:rPr>
      </w:pPr>
      <w:r>
        <w:rPr>
          <w:rFonts w:ascii="Times New Roman" w:hAnsi="Times New Roman"/>
        </w:rPr>
        <w:t>The second risk-related aspect of the ne</w:t>
      </w:r>
      <w:r w:rsidR="0014119B">
        <w:rPr>
          <w:rFonts w:ascii="Times New Roman" w:hAnsi="Times New Roman"/>
        </w:rPr>
        <w:t xml:space="preserve">w proxy disclosure rules requires disclosure of situations where a company’s compensation programs could result in material risks to the company.  General counsels by now have been spending a great deal of time with their compensation committees developing and </w:t>
      </w:r>
      <w:r w:rsidR="00564A23">
        <w:rPr>
          <w:rFonts w:ascii="Times New Roman" w:hAnsi="Times New Roman"/>
        </w:rPr>
        <w:t>implementing a m</w:t>
      </w:r>
      <w:r w:rsidR="0014119B">
        <w:rPr>
          <w:rFonts w:ascii="Times New Roman" w:hAnsi="Times New Roman"/>
        </w:rPr>
        <w:t xml:space="preserve">ethodology to survey and analyze their various compensation programs across the company and evaluating potential risks against the stated standard of “reasonably likely to have a material adverse effect on the company.”  </w:t>
      </w:r>
      <w:r w:rsidR="00640229">
        <w:rPr>
          <w:rFonts w:ascii="Times New Roman" w:hAnsi="Times New Roman"/>
        </w:rPr>
        <w:t>Again, this will be new disclosure for companies so general counsels should expect a substantial amount of review and collaboration with their compensation committees as the disclosure is developed.</w:t>
      </w:r>
    </w:p>
    <w:p w:rsidR="00640229" w:rsidRDefault="00640229" w:rsidP="002A67B9">
      <w:pPr>
        <w:pStyle w:val="NoSpacing"/>
        <w:jc w:val="both"/>
        <w:rPr>
          <w:rFonts w:ascii="Times New Roman" w:hAnsi="Times New Roman"/>
        </w:rPr>
      </w:pPr>
    </w:p>
    <w:p w:rsidR="00640229" w:rsidRPr="00B83CED" w:rsidRDefault="00640229" w:rsidP="002A67B9">
      <w:pPr>
        <w:pStyle w:val="NoSpacing"/>
        <w:jc w:val="both"/>
        <w:rPr>
          <w:rFonts w:ascii="Times New Roman" w:hAnsi="Times New Roman"/>
        </w:rPr>
      </w:pPr>
      <w:r>
        <w:rPr>
          <w:rFonts w:ascii="Times New Roman" w:hAnsi="Times New Roman"/>
        </w:rPr>
        <w:t xml:space="preserve">So what will the board of directors expect and need from general counsels in light of the recent surge in legislative and regulatory changes in corporate governance?  Obviously, the boards want to be informed of the changes.  However, they need the information presented in an understandable </w:t>
      </w:r>
      <w:r w:rsidR="001E11C9">
        <w:rPr>
          <w:rFonts w:ascii="Times New Roman" w:hAnsi="Times New Roman"/>
        </w:rPr>
        <w:t xml:space="preserve">and actionable </w:t>
      </w:r>
      <w:r>
        <w:rPr>
          <w:rFonts w:ascii="Times New Roman" w:hAnsi="Times New Roman"/>
        </w:rPr>
        <w:t>way</w:t>
      </w:r>
      <w:r w:rsidR="001E11C9">
        <w:rPr>
          <w:rFonts w:ascii="Times New Roman" w:hAnsi="Times New Roman"/>
        </w:rPr>
        <w:t>.  T</w:t>
      </w:r>
      <w:r>
        <w:rPr>
          <w:rFonts w:ascii="Times New Roman" w:hAnsi="Times New Roman"/>
        </w:rPr>
        <w:t xml:space="preserve">hey expect general counsels to </w:t>
      </w:r>
      <w:r w:rsidR="00A20AFD">
        <w:rPr>
          <w:rFonts w:ascii="Times New Roman" w:hAnsi="Times New Roman"/>
        </w:rPr>
        <w:t xml:space="preserve">advise them on the real impact of the changes, how other companies are responding to the changes, and what alternatives are available to the directors in terms of response and actions.  Most certainly this means increased preparation time as general counsels and their staffs absorb, understand, and interpret the new laws and regulations and, in turn, survey best practices and </w:t>
      </w:r>
      <w:r w:rsidR="005B5974">
        <w:rPr>
          <w:rFonts w:ascii="Times New Roman" w:hAnsi="Times New Roman"/>
        </w:rPr>
        <w:t xml:space="preserve">prepare to advise their boards on </w:t>
      </w:r>
      <w:r w:rsidR="001E11C9">
        <w:rPr>
          <w:rFonts w:ascii="Times New Roman" w:hAnsi="Times New Roman"/>
        </w:rPr>
        <w:t>actions they should consider.  It also means there will be a great deal more governance dialogue between the general counsel and the directors outside of the boardroom which should afford the opportunity for the general counsel to forge even strong</w:t>
      </w:r>
      <w:r w:rsidR="0038468B">
        <w:rPr>
          <w:rFonts w:ascii="Times New Roman" w:hAnsi="Times New Roman"/>
        </w:rPr>
        <w:t>er relationships with the directors.</w:t>
      </w:r>
    </w:p>
    <w:sectPr w:rsidR="00640229" w:rsidRPr="00B83CED" w:rsidSect="00483EA2">
      <w:footerReference w:type="default" r:id="rId7"/>
      <w:pgSz w:w="12240" w:h="15840"/>
      <w:pgMar w:top="1170" w:right="3456" w:bottom="2592" w:left="19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582" w:rsidRDefault="008C2582" w:rsidP="00EA1D98">
      <w:pPr>
        <w:spacing w:after="0" w:line="240" w:lineRule="auto"/>
      </w:pPr>
      <w:r>
        <w:separator/>
      </w:r>
    </w:p>
  </w:endnote>
  <w:endnote w:type="continuationSeparator" w:id="1">
    <w:p w:rsidR="008C2582" w:rsidRDefault="008C2582" w:rsidP="00EA1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B Palatino Bold">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New Roman Bold">
    <w:altName w:val="TimesNewRomanPS-Bold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5B" w:rsidRDefault="0032535B">
    <w:pPr>
      <w:pStyle w:val="Footer"/>
      <w:jc w:val="right"/>
    </w:pPr>
    <w:fldSimple w:instr=" PAGE   \* MERGEFORMAT ">
      <w:r w:rsidR="00490E0B">
        <w:rPr>
          <w:noProof/>
        </w:rPr>
        <w:t>3</w:t>
      </w:r>
    </w:fldSimple>
  </w:p>
  <w:p w:rsidR="0032535B" w:rsidRPr="0032535B" w:rsidRDefault="0032535B" w:rsidP="00325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582" w:rsidRDefault="008C2582" w:rsidP="00EA1D98">
      <w:pPr>
        <w:spacing w:after="0" w:line="240" w:lineRule="auto"/>
      </w:pPr>
      <w:r>
        <w:separator/>
      </w:r>
    </w:p>
  </w:footnote>
  <w:footnote w:type="continuationSeparator" w:id="1">
    <w:p w:rsidR="008C2582" w:rsidRDefault="008C2582" w:rsidP="00EA1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6F"/>
    <w:multiLevelType w:val="hybridMultilevel"/>
    <w:tmpl w:val="0CF0B92A"/>
    <w:lvl w:ilvl="0" w:tplc="D6DAF4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15366"/>
    <w:multiLevelType w:val="hybridMultilevel"/>
    <w:tmpl w:val="CFC099C0"/>
    <w:lvl w:ilvl="0" w:tplc="E9C81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32B04"/>
    <w:multiLevelType w:val="hybridMultilevel"/>
    <w:tmpl w:val="61B86B6E"/>
    <w:lvl w:ilvl="0" w:tplc="EB3AC3E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83404FE"/>
    <w:multiLevelType w:val="hybridMultilevel"/>
    <w:tmpl w:val="BF0CE146"/>
    <w:lvl w:ilvl="0" w:tplc="6DB4EC5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51672"/>
    <w:multiLevelType w:val="hybridMultilevel"/>
    <w:tmpl w:val="EB7C9ECE"/>
    <w:lvl w:ilvl="0" w:tplc="CF8E0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419A9"/>
    <w:multiLevelType w:val="hybridMultilevel"/>
    <w:tmpl w:val="E97CBCE4"/>
    <w:lvl w:ilvl="0" w:tplc="24589FE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4B5"/>
    <w:rsid w:val="00002576"/>
    <w:rsid w:val="000101AE"/>
    <w:rsid w:val="00010641"/>
    <w:rsid w:val="000111D0"/>
    <w:rsid w:val="00023C4D"/>
    <w:rsid w:val="0004191E"/>
    <w:rsid w:val="000574DA"/>
    <w:rsid w:val="000A3D57"/>
    <w:rsid w:val="000A5D53"/>
    <w:rsid w:val="000B0129"/>
    <w:rsid w:val="000D3C47"/>
    <w:rsid w:val="000D4B8B"/>
    <w:rsid w:val="000E2C37"/>
    <w:rsid w:val="000E7E42"/>
    <w:rsid w:val="000F2913"/>
    <w:rsid w:val="001066C6"/>
    <w:rsid w:val="001067DC"/>
    <w:rsid w:val="00111B22"/>
    <w:rsid w:val="00124D5F"/>
    <w:rsid w:val="00130642"/>
    <w:rsid w:val="0014119B"/>
    <w:rsid w:val="0014713D"/>
    <w:rsid w:val="00172D42"/>
    <w:rsid w:val="00173F2F"/>
    <w:rsid w:val="00187AB1"/>
    <w:rsid w:val="001A6525"/>
    <w:rsid w:val="001C7975"/>
    <w:rsid w:val="001D5B64"/>
    <w:rsid w:val="001E11C9"/>
    <w:rsid w:val="001F090D"/>
    <w:rsid w:val="001F4B38"/>
    <w:rsid w:val="001F6DFE"/>
    <w:rsid w:val="00200895"/>
    <w:rsid w:val="00262CB7"/>
    <w:rsid w:val="00263585"/>
    <w:rsid w:val="00286126"/>
    <w:rsid w:val="002906CC"/>
    <w:rsid w:val="0029484B"/>
    <w:rsid w:val="002A67B9"/>
    <w:rsid w:val="002B1625"/>
    <w:rsid w:val="002C45D9"/>
    <w:rsid w:val="00313E2B"/>
    <w:rsid w:val="0032535B"/>
    <w:rsid w:val="003351FD"/>
    <w:rsid w:val="0033567B"/>
    <w:rsid w:val="0034606B"/>
    <w:rsid w:val="0034693B"/>
    <w:rsid w:val="00373281"/>
    <w:rsid w:val="0038468B"/>
    <w:rsid w:val="0038722C"/>
    <w:rsid w:val="00387F5D"/>
    <w:rsid w:val="00393857"/>
    <w:rsid w:val="003A07DC"/>
    <w:rsid w:val="003E19DA"/>
    <w:rsid w:val="00422191"/>
    <w:rsid w:val="0042520B"/>
    <w:rsid w:val="00483EA2"/>
    <w:rsid w:val="00487BED"/>
    <w:rsid w:val="00490E0B"/>
    <w:rsid w:val="004E4409"/>
    <w:rsid w:val="004F0E70"/>
    <w:rsid w:val="00513CFC"/>
    <w:rsid w:val="0053373F"/>
    <w:rsid w:val="00536BD2"/>
    <w:rsid w:val="00564A23"/>
    <w:rsid w:val="00565B20"/>
    <w:rsid w:val="005666F1"/>
    <w:rsid w:val="005A04D0"/>
    <w:rsid w:val="005B5974"/>
    <w:rsid w:val="005C5D5F"/>
    <w:rsid w:val="005F3724"/>
    <w:rsid w:val="005F41B7"/>
    <w:rsid w:val="00602172"/>
    <w:rsid w:val="00640229"/>
    <w:rsid w:val="006553F0"/>
    <w:rsid w:val="00675B02"/>
    <w:rsid w:val="00676B89"/>
    <w:rsid w:val="00687388"/>
    <w:rsid w:val="00697C7B"/>
    <w:rsid w:val="006C117C"/>
    <w:rsid w:val="006C5A31"/>
    <w:rsid w:val="006D0743"/>
    <w:rsid w:val="006D1FAC"/>
    <w:rsid w:val="006E0A6E"/>
    <w:rsid w:val="0070267A"/>
    <w:rsid w:val="00705CFD"/>
    <w:rsid w:val="00753BF5"/>
    <w:rsid w:val="00763B47"/>
    <w:rsid w:val="00781C99"/>
    <w:rsid w:val="00792070"/>
    <w:rsid w:val="007B16C6"/>
    <w:rsid w:val="007D6CE0"/>
    <w:rsid w:val="007E1884"/>
    <w:rsid w:val="007E7FBA"/>
    <w:rsid w:val="008001CD"/>
    <w:rsid w:val="00814634"/>
    <w:rsid w:val="00817DFD"/>
    <w:rsid w:val="00822ACB"/>
    <w:rsid w:val="00827426"/>
    <w:rsid w:val="008323FF"/>
    <w:rsid w:val="00845EBC"/>
    <w:rsid w:val="0085322C"/>
    <w:rsid w:val="00872255"/>
    <w:rsid w:val="00874B3C"/>
    <w:rsid w:val="00881E58"/>
    <w:rsid w:val="008855BF"/>
    <w:rsid w:val="00897B9E"/>
    <w:rsid w:val="008B6813"/>
    <w:rsid w:val="008C1A30"/>
    <w:rsid w:val="008C2582"/>
    <w:rsid w:val="008C65A6"/>
    <w:rsid w:val="00902DA3"/>
    <w:rsid w:val="00936452"/>
    <w:rsid w:val="009554B5"/>
    <w:rsid w:val="009626C3"/>
    <w:rsid w:val="00973A42"/>
    <w:rsid w:val="009C0B99"/>
    <w:rsid w:val="009C482E"/>
    <w:rsid w:val="009C728A"/>
    <w:rsid w:val="009D3D1D"/>
    <w:rsid w:val="009F5476"/>
    <w:rsid w:val="00A20AFD"/>
    <w:rsid w:val="00A93117"/>
    <w:rsid w:val="00AA14D2"/>
    <w:rsid w:val="00AA53E1"/>
    <w:rsid w:val="00AD7974"/>
    <w:rsid w:val="00B123FC"/>
    <w:rsid w:val="00B47DA7"/>
    <w:rsid w:val="00B50AD6"/>
    <w:rsid w:val="00B6081A"/>
    <w:rsid w:val="00B62FC6"/>
    <w:rsid w:val="00B64505"/>
    <w:rsid w:val="00B822F3"/>
    <w:rsid w:val="00B83CED"/>
    <w:rsid w:val="00BB22EF"/>
    <w:rsid w:val="00BE6C75"/>
    <w:rsid w:val="00C032C9"/>
    <w:rsid w:val="00C160A4"/>
    <w:rsid w:val="00C2154F"/>
    <w:rsid w:val="00C34EA2"/>
    <w:rsid w:val="00C56E12"/>
    <w:rsid w:val="00C65C02"/>
    <w:rsid w:val="00C66F11"/>
    <w:rsid w:val="00CD229D"/>
    <w:rsid w:val="00CD304D"/>
    <w:rsid w:val="00CF2302"/>
    <w:rsid w:val="00CF7FC4"/>
    <w:rsid w:val="00D37F2A"/>
    <w:rsid w:val="00D47711"/>
    <w:rsid w:val="00D55DFE"/>
    <w:rsid w:val="00D85004"/>
    <w:rsid w:val="00DC2B1F"/>
    <w:rsid w:val="00DD3280"/>
    <w:rsid w:val="00DD3F9B"/>
    <w:rsid w:val="00DE1942"/>
    <w:rsid w:val="00DE4B00"/>
    <w:rsid w:val="00DF1B13"/>
    <w:rsid w:val="00E21E49"/>
    <w:rsid w:val="00E3171D"/>
    <w:rsid w:val="00E441C3"/>
    <w:rsid w:val="00E568A9"/>
    <w:rsid w:val="00E87BA1"/>
    <w:rsid w:val="00EA07B3"/>
    <w:rsid w:val="00EA1D98"/>
    <w:rsid w:val="00EC4157"/>
    <w:rsid w:val="00ED2A52"/>
    <w:rsid w:val="00EE7E7A"/>
    <w:rsid w:val="00EE7EFE"/>
    <w:rsid w:val="00F032BC"/>
    <w:rsid w:val="00F07870"/>
    <w:rsid w:val="00F25340"/>
    <w:rsid w:val="00F3084F"/>
    <w:rsid w:val="00F31347"/>
    <w:rsid w:val="00F31CB9"/>
    <w:rsid w:val="00F32615"/>
    <w:rsid w:val="00F36FAB"/>
    <w:rsid w:val="00F42AFA"/>
    <w:rsid w:val="00F664D5"/>
    <w:rsid w:val="00F71F58"/>
    <w:rsid w:val="00F73641"/>
    <w:rsid w:val="00FA4AE5"/>
    <w:rsid w:val="00FB56B3"/>
    <w:rsid w:val="00FD1D87"/>
    <w:rsid w:val="00FF1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4B5"/>
    <w:rPr>
      <w:sz w:val="22"/>
      <w:szCs w:val="22"/>
    </w:rPr>
  </w:style>
  <w:style w:type="paragraph" w:styleId="Header">
    <w:name w:val="header"/>
    <w:basedOn w:val="Normal"/>
    <w:link w:val="HeaderChar"/>
    <w:uiPriority w:val="99"/>
    <w:semiHidden/>
    <w:unhideWhenUsed/>
    <w:rsid w:val="00EA1D98"/>
    <w:pPr>
      <w:tabs>
        <w:tab w:val="center" w:pos="4680"/>
        <w:tab w:val="right" w:pos="9360"/>
      </w:tabs>
    </w:pPr>
  </w:style>
  <w:style w:type="character" w:customStyle="1" w:styleId="HeaderChar">
    <w:name w:val="Header Char"/>
    <w:basedOn w:val="DefaultParagraphFont"/>
    <w:link w:val="Header"/>
    <w:uiPriority w:val="99"/>
    <w:semiHidden/>
    <w:rsid w:val="00EA1D98"/>
    <w:rPr>
      <w:sz w:val="22"/>
      <w:szCs w:val="22"/>
    </w:rPr>
  </w:style>
  <w:style w:type="paragraph" w:styleId="Footer">
    <w:name w:val="footer"/>
    <w:basedOn w:val="Normal"/>
    <w:link w:val="FooterChar"/>
    <w:uiPriority w:val="99"/>
    <w:unhideWhenUsed/>
    <w:rsid w:val="00EA1D98"/>
    <w:pPr>
      <w:tabs>
        <w:tab w:val="center" w:pos="4680"/>
        <w:tab w:val="right" w:pos="9360"/>
      </w:tabs>
    </w:pPr>
  </w:style>
  <w:style w:type="character" w:customStyle="1" w:styleId="FooterChar">
    <w:name w:val="Footer Char"/>
    <w:basedOn w:val="DefaultParagraphFont"/>
    <w:link w:val="Footer"/>
    <w:uiPriority w:val="99"/>
    <w:rsid w:val="00EA1D98"/>
    <w:rPr>
      <w:sz w:val="22"/>
      <w:szCs w:val="22"/>
    </w:rPr>
  </w:style>
  <w:style w:type="paragraph" w:styleId="BodyText">
    <w:name w:val="Body Text"/>
    <w:aliases w:val="b"/>
    <w:basedOn w:val="Normal"/>
    <w:link w:val="BodyTextChar"/>
    <w:rsid w:val="00483EA2"/>
    <w:pPr>
      <w:spacing w:after="24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83EA2"/>
    <w:rPr>
      <w:rFonts w:ascii="Times New Roman" w:eastAsia="Times New Roman" w:hAnsi="Times New Roman"/>
      <w:sz w:val="24"/>
    </w:rPr>
  </w:style>
  <w:style w:type="paragraph" w:customStyle="1" w:styleId="CG-Title-Left-Bold">
    <w:name w:val="CG-Title-Left-Bold"/>
    <w:aliases w:val="t3"/>
    <w:basedOn w:val="Normal"/>
    <w:next w:val="Normal"/>
    <w:rsid w:val="00483EA2"/>
    <w:pPr>
      <w:keepNext/>
      <w:spacing w:after="240" w:line="240" w:lineRule="auto"/>
    </w:pPr>
    <w:rPr>
      <w:rFonts w:ascii="Times New Roman" w:eastAsia="Times" w:hAnsi="Times New Roman"/>
      <w:b/>
      <w:sz w:val="24"/>
      <w:szCs w:val="20"/>
    </w:rPr>
  </w:style>
  <w:style w:type="paragraph" w:customStyle="1" w:styleId="CG-Title-Left-Italic">
    <w:name w:val="CG-Title-Left-Italic"/>
    <w:aliases w:val="t6"/>
    <w:basedOn w:val="Normal"/>
    <w:next w:val="Normal"/>
    <w:rsid w:val="00483EA2"/>
    <w:pPr>
      <w:keepNext/>
      <w:spacing w:after="240" w:line="240" w:lineRule="auto"/>
    </w:pPr>
    <w:rPr>
      <w:rFonts w:ascii="Times New Roman" w:eastAsia="Times" w:hAnsi="Times New Roman"/>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ENTERPRISE RISK MANAGEMENT AND GLOBAL COMPLIANCE IN THE CORPORATE GOVERNANCE CONTEXT: THE GENERAL COUNSEL’S ROLE AND THE BOARD OF DIRECTORS’ EXPECTATIONS</vt:lpstr>
    </vt:vector>
  </TitlesOfParts>
  <Company/>
  <LinksUpToDate>false</LinksUpToDate>
  <CharactersWithSpaces>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RISK MANAGEMENT AND GLOBAL COMPLIANCE IN THE CORPORATE GOVERNANCE CONTEXT: THE GENERAL COUNSEL’S ROLE AND THE BOARD OF DIRECTORS’ EXPECTATIONS</dc:title>
  <dc:subject/>
  <dc:creator>wdeckelman</dc:creator>
  <cp:keywords/>
  <dc:description/>
  <cp:lastModifiedBy>Sinéad</cp:lastModifiedBy>
  <cp:revision>2</cp:revision>
  <cp:lastPrinted>2009-12-22T11:51:00Z</cp:lastPrinted>
  <dcterms:created xsi:type="dcterms:W3CDTF">2014-10-08T21:37:00Z</dcterms:created>
  <dcterms:modified xsi:type="dcterms:W3CDTF">2014-10-08T21:37:00Z</dcterms:modified>
</cp:coreProperties>
</file>